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7EBB1" w14:textId="696C18E2" w:rsidR="00652640" w:rsidRDefault="007A3FB9" w:rsidP="00911761">
      <w:pPr>
        <w:jc w:val="center"/>
      </w:pPr>
      <w:r>
        <w:t xml:space="preserve"> </w:t>
      </w:r>
    </w:p>
    <w:tbl>
      <w:tblPr>
        <w:tblStyle w:val="MediumList2-Accent1"/>
        <w:tblW w:w="9990" w:type="dxa"/>
        <w:jc w:val="center"/>
        <w:tblLayout w:type="fixed"/>
        <w:tblLook w:val="06A0" w:firstRow="1" w:lastRow="0" w:firstColumn="1" w:lastColumn="0" w:noHBand="1" w:noVBand="1"/>
      </w:tblPr>
      <w:tblGrid>
        <w:gridCol w:w="9990"/>
      </w:tblGrid>
      <w:tr w:rsidR="00C7720E" w14:paraId="69809CEC" w14:textId="77777777" w:rsidTr="00C7720E">
        <w:trPr>
          <w:cnfStyle w:val="100000000000" w:firstRow="1" w:lastRow="0" w:firstColumn="0" w:lastColumn="0" w:oddVBand="0" w:evenVBand="0" w:oddHBand="0" w:evenHBand="0" w:firstRowFirstColumn="0" w:firstRowLastColumn="0" w:lastRowFirstColumn="0" w:lastRowLastColumn="0"/>
          <w:trHeight w:val="926"/>
          <w:jc w:val="center"/>
        </w:trPr>
        <w:tc>
          <w:tcPr>
            <w:cnfStyle w:val="001000000100" w:firstRow="0" w:lastRow="0" w:firstColumn="1" w:lastColumn="0" w:oddVBand="0" w:evenVBand="0" w:oddHBand="0" w:evenHBand="0" w:firstRowFirstColumn="1" w:firstRowLastColumn="0" w:lastRowFirstColumn="0" w:lastRowLastColumn="0"/>
            <w:tcW w:w="9985" w:type="dxa"/>
            <w:tcBorders>
              <w:top w:val="single" w:sz="4" w:space="0" w:color="auto"/>
              <w:bottom w:val="single" w:sz="4" w:space="0" w:color="auto"/>
            </w:tcBorders>
            <w:shd w:val="clear" w:color="auto" w:fill="C00000"/>
            <w:noWrap/>
            <w:hideMark/>
          </w:tcPr>
          <w:p w14:paraId="15B9AF7C" w14:textId="77777777" w:rsidR="00C7720E" w:rsidRDefault="00C7720E">
            <w:pPr>
              <w:jc w:val="center"/>
              <w:rPr>
                <w:rFonts w:eastAsiaTheme="minorEastAsia" w:cstheme="majorHAnsi"/>
                <w:b/>
                <w:color w:val="FFFFFF" w:themeColor="background1"/>
                <w:sz w:val="26"/>
                <w:szCs w:val="26"/>
              </w:rPr>
            </w:pPr>
            <w:r>
              <w:rPr>
                <w:rFonts w:eastAsiaTheme="minorEastAsia" w:cstheme="majorHAnsi"/>
                <w:b/>
                <w:color w:val="FFFFFF" w:themeColor="background1"/>
                <w:sz w:val="26"/>
                <w:szCs w:val="26"/>
              </w:rPr>
              <w:t>Report to G20 Compact with Africa – Compact Narrative</w:t>
            </w:r>
          </w:p>
          <w:p w14:paraId="0F8DD4C8" w14:textId="77777777" w:rsidR="00C7720E" w:rsidRDefault="00C7720E">
            <w:pPr>
              <w:jc w:val="center"/>
              <w:rPr>
                <w:rFonts w:eastAsiaTheme="minorEastAsia" w:cstheme="majorHAnsi"/>
                <w:b/>
                <w:color w:val="FFFFFF" w:themeColor="background1"/>
                <w:sz w:val="26"/>
                <w:szCs w:val="26"/>
              </w:rPr>
            </w:pPr>
            <w:r>
              <w:rPr>
                <w:rFonts w:eastAsiaTheme="minorEastAsia" w:cstheme="majorHAnsi"/>
                <w:b/>
                <w:color w:val="FFFFFF" w:themeColor="background1"/>
                <w:sz w:val="26"/>
                <w:szCs w:val="26"/>
              </w:rPr>
              <w:t>Rwanda</w:t>
            </w:r>
          </w:p>
          <w:p w14:paraId="4F28C0FE" w14:textId="77777777" w:rsidR="00C7720E" w:rsidRDefault="00C7720E">
            <w:pPr>
              <w:jc w:val="center"/>
              <w:rPr>
                <w:rFonts w:eastAsiaTheme="minorEastAsia" w:cstheme="majorHAnsi"/>
                <w:b/>
                <w:color w:val="FFFFFF" w:themeColor="background1"/>
                <w:sz w:val="26"/>
                <w:szCs w:val="26"/>
              </w:rPr>
            </w:pPr>
            <w:r>
              <w:rPr>
                <w:rFonts w:eastAsiaTheme="minorEastAsia" w:cstheme="majorHAnsi"/>
                <w:bCs/>
                <w:color w:val="FFFFFF" w:themeColor="background1"/>
              </w:rPr>
              <w:t xml:space="preserve">Goal: Improve framework conditions for private investment (domestic and foreign) </w:t>
            </w:r>
          </w:p>
        </w:tc>
      </w:tr>
    </w:tbl>
    <w:p w14:paraId="061102F9" w14:textId="77777777" w:rsidR="00C7720E" w:rsidRDefault="00C7720E" w:rsidP="00C7720E"/>
    <w:p w14:paraId="55ABB9E3" w14:textId="77777777" w:rsidR="00911761" w:rsidRDefault="00911761" w:rsidP="00911761"/>
    <w:p w14:paraId="08D3ADAA" w14:textId="3F0045C9" w:rsidR="000274E2" w:rsidRPr="000274E2" w:rsidRDefault="000274E2" w:rsidP="000274E2">
      <w:pPr>
        <w:jc w:val="both"/>
        <w:rPr>
          <w:rFonts w:ascii="Calibri" w:eastAsia="Calibri" w:hAnsi="Calibri" w:cs="Arial"/>
        </w:rPr>
      </w:pPr>
      <w:r w:rsidRPr="000274E2">
        <w:rPr>
          <w:rFonts w:ascii="Calibri" w:eastAsia="Calibri" w:hAnsi="Calibri" w:cs="Arial"/>
        </w:rPr>
        <w:t>Rwanda has strong macro-economic management capacity and has been proactive in dealing with emerging macroeconomic risks.  This was evident in the Government of Rwanda (</w:t>
      </w:r>
      <w:proofErr w:type="spellStart"/>
      <w:r w:rsidRPr="000274E2">
        <w:rPr>
          <w:rFonts w:ascii="Calibri" w:eastAsia="Calibri" w:hAnsi="Calibri" w:cs="Arial"/>
        </w:rPr>
        <w:t>GoR</w:t>
      </w:r>
      <w:proofErr w:type="spellEnd"/>
      <w:r w:rsidRPr="000274E2">
        <w:rPr>
          <w:rFonts w:ascii="Calibri" w:eastAsia="Calibri" w:hAnsi="Calibri" w:cs="Arial"/>
        </w:rPr>
        <w:t xml:space="preserve">) negotiation of a stand-by credit with the IMF, to bolster international reserves while implementing an adjustment program to address external imbalances stemming from, among other things, commodity price declines.  The program has been more successful than envisaged thus far, with greater exchange flexibility serving as a pillar. Macroeconomic fundamentals are currently strong, with sustainable fiscal and debt positions, and low inflation. Rwanda has implemented several reforms over the past decade to secure high and inclusive growth, including carefully-targeted public investment, improving the business environment, and fostering financial inclusion.  These reforms have been embedded in development strategies and revised legal frameworks. However, there remain various implementation gaps which mean that the policy context is not delivering maximum results. The </w:t>
      </w:r>
      <w:proofErr w:type="spellStart"/>
      <w:r w:rsidRPr="000274E2">
        <w:rPr>
          <w:rFonts w:ascii="Calibri" w:eastAsia="Calibri" w:hAnsi="Calibri" w:cs="Arial"/>
        </w:rPr>
        <w:t>GoR</w:t>
      </w:r>
      <w:proofErr w:type="spellEnd"/>
      <w:r w:rsidRPr="000274E2">
        <w:rPr>
          <w:rFonts w:ascii="Calibri" w:eastAsia="Calibri" w:hAnsi="Calibri" w:cs="Arial"/>
        </w:rPr>
        <w:t xml:space="preserve"> and Development Partners believe that a lot of potential gains can be achieved from addressing these implementation issues. For the reasons above, the table below focuses on targeted reforms in specific sectors, including (i) ensuring an investor-friendly tax regime without eroding the tax base, (ii) strengthening the responsiveness of government to private sector concerns and (iii) establishing instruments to ease access to finance for private investors in specific sectors. </w:t>
      </w:r>
    </w:p>
    <w:p w14:paraId="0846059A" w14:textId="77777777" w:rsidR="00C7720E" w:rsidRDefault="00C7720E" w:rsidP="00C7720E"/>
    <w:p w14:paraId="015194E7" w14:textId="77777777" w:rsidR="00C7720E" w:rsidRDefault="00C7720E" w:rsidP="00C7720E"/>
    <w:p w14:paraId="31CA1EFC" w14:textId="40ECFAFD" w:rsidR="00C278D6" w:rsidRDefault="00C278D6">
      <w:r>
        <w:br w:type="page"/>
      </w:r>
    </w:p>
    <w:p w14:paraId="5E658869" w14:textId="77777777" w:rsidR="00C7720E" w:rsidRDefault="00C7720E" w:rsidP="00C7720E"/>
    <w:tbl>
      <w:tblPr>
        <w:tblStyle w:val="MediumList2-Accent1"/>
        <w:tblW w:w="0" w:type="auto"/>
        <w:tblInd w:w="-176" w:type="dxa"/>
        <w:tblLook w:val="06A0" w:firstRow="1" w:lastRow="0" w:firstColumn="1" w:lastColumn="0" w:noHBand="1" w:noVBand="1"/>
      </w:tblPr>
      <w:tblGrid>
        <w:gridCol w:w="5830"/>
        <w:gridCol w:w="3296"/>
        <w:gridCol w:w="2092"/>
        <w:gridCol w:w="3132"/>
      </w:tblGrid>
      <w:tr w:rsidR="00C7720E" w14:paraId="5BAF969A" w14:textId="77777777" w:rsidTr="001A702E">
        <w:trPr>
          <w:cnfStyle w:val="100000000000" w:firstRow="1" w:lastRow="0" w:firstColumn="0" w:lastColumn="0" w:oddVBand="0" w:evenVBand="0" w:oddHBand="0" w:evenHBand="0" w:firstRowFirstColumn="0" w:firstRowLastColumn="0" w:lastRowFirstColumn="0" w:lastRowLastColumn="0"/>
          <w:trHeight w:val="926"/>
        </w:trPr>
        <w:tc>
          <w:tcPr>
            <w:cnfStyle w:val="001000000100" w:firstRow="0" w:lastRow="0" w:firstColumn="1" w:lastColumn="0" w:oddVBand="0" w:evenVBand="0" w:oddHBand="0" w:evenHBand="0" w:firstRowFirstColumn="1" w:firstRowLastColumn="0" w:lastRowFirstColumn="0" w:lastRowLastColumn="0"/>
            <w:tcW w:w="14350" w:type="dxa"/>
            <w:gridSpan w:val="4"/>
            <w:tcBorders>
              <w:top w:val="single" w:sz="4" w:space="0" w:color="auto"/>
              <w:bottom w:val="single" w:sz="4" w:space="0" w:color="auto"/>
            </w:tcBorders>
            <w:shd w:val="clear" w:color="auto" w:fill="C00000"/>
            <w:noWrap/>
            <w:hideMark/>
          </w:tcPr>
          <w:p w14:paraId="321384D0" w14:textId="77777777" w:rsidR="00C7720E" w:rsidRDefault="00C7720E">
            <w:pPr>
              <w:jc w:val="center"/>
              <w:rPr>
                <w:rFonts w:eastAsiaTheme="minorEastAsia" w:cstheme="majorHAnsi"/>
                <w:b/>
                <w:color w:val="FFFFFF" w:themeColor="background1"/>
                <w:sz w:val="26"/>
                <w:szCs w:val="26"/>
              </w:rPr>
            </w:pPr>
            <w:r>
              <w:rPr>
                <w:rFonts w:eastAsiaTheme="minorEastAsia" w:cstheme="majorHAnsi"/>
                <w:b/>
                <w:color w:val="FFFFFF" w:themeColor="background1"/>
                <w:sz w:val="26"/>
                <w:szCs w:val="26"/>
              </w:rPr>
              <w:t xml:space="preserve">Report to G20 Compact with Africa – Policy Matrix </w:t>
            </w:r>
          </w:p>
          <w:p w14:paraId="31DAE7AF" w14:textId="77777777" w:rsidR="00C7720E" w:rsidRDefault="00C7720E">
            <w:pPr>
              <w:jc w:val="center"/>
              <w:rPr>
                <w:rFonts w:eastAsiaTheme="minorEastAsia" w:cstheme="majorHAnsi"/>
                <w:b/>
                <w:color w:val="FFFFFF" w:themeColor="background1"/>
                <w:sz w:val="26"/>
                <w:szCs w:val="26"/>
              </w:rPr>
            </w:pPr>
            <w:r>
              <w:rPr>
                <w:rFonts w:eastAsiaTheme="minorEastAsia" w:cstheme="majorHAnsi"/>
                <w:b/>
                <w:color w:val="FFFFFF" w:themeColor="background1"/>
                <w:sz w:val="26"/>
                <w:szCs w:val="26"/>
              </w:rPr>
              <w:t>Country’s Name</w:t>
            </w:r>
            <w:r w:rsidR="00B92D8D">
              <w:rPr>
                <w:rFonts w:eastAsiaTheme="minorEastAsia" w:cstheme="majorHAnsi"/>
                <w:b/>
                <w:color w:val="FFFFFF" w:themeColor="background1"/>
                <w:sz w:val="26"/>
                <w:szCs w:val="26"/>
              </w:rPr>
              <w:t>: Rwanda</w:t>
            </w:r>
          </w:p>
          <w:p w14:paraId="35F6E4AD" w14:textId="77777777" w:rsidR="00C7720E" w:rsidRDefault="00C7720E">
            <w:pPr>
              <w:jc w:val="center"/>
              <w:rPr>
                <w:rFonts w:eastAsiaTheme="minorEastAsia" w:cstheme="majorHAnsi"/>
                <w:b/>
                <w:color w:val="FFFFFF" w:themeColor="background1"/>
                <w:sz w:val="26"/>
                <w:szCs w:val="26"/>
              </w:rPr>
            </w:pPr>
            <w:r>
              <w:rPr>
                <w:rFonts w:eastAsiaTheme="minorEastAsia" w:cstheme="majorHAnsi"/>
                <w:bCs/>
                <w:color w:val="FFFFFF" w:themeColor="background1"/>
              </w:rPr>
              <w:t xml:space="preserve">Goal: Improve framework conditions for private investment (domestic and foreign) </w:t>
            </w:r>
          </w:p>
        </w:tc>
      </w:tr>
      <w:tr w:rsidR="000F2E7F" w14:paraId="5EACACAB" w14:textId="77777777" w:rsidTr="001A702E">
        <w:trPr>
          <w:trHeight w:val="20"/>
        </w:trPr>
        <w:tc>
          <w:tcPr>
            <w:cnfStyle w:val="001000000000" w:firstRow="0" w:lastRow="0" w:firstColumn="1" w:lastColumn="0" w:oddVBand="0" w:evenVBand="0" w:oddHBand="0" w:evenHBand="0" w:firstRowFirstColumn="0" w:firstRowLastColumn="0" w:lastRowFirstColumn="0" w:lastRowLastColumn="0"/>
            <w:tcW w:w="5830" w:type="dxa"/>
            <w:tcBorders>
              <w:top w:val="single" w:sz="4" w:space="0" w:color="auto"/>
              <w:left w:val="single" w:sz="4" w:space="0" w:color="auto"/>
              <w:bottom w:val="single" w:sz="4" w:space="0" w:color="auto"/>
              <w:right w:val="single" w:sz="4" w:space="0" w:color="auto"/>
            </w:tcBorders>
            <w:hideMark/>
          </w:tcPr>
          <w:p w14:paraId="573CD5F4" w14:textId="73703A1E" w:rsidR="00C7720E" w:rsidRDefault="00AD58B9">
            <w:pPr>
              <w:rPr>
                <w:rFonts w:eastAsiaTheme="minorEastAsia" w:cstheme="majorHAnsi"/>
                <w:b/>
                <w:sz w:val="18"/>
                <w:szCs w:val="18"/>
              </w:rPr>
            </w:pPr>
            <w:r>
              <w:rPr>
                <w:rFonts w:eastAsiaTheme="minorEastAsia" w:cstheme="majorHAnsi"/>
                <w:b/>
                <w:sz w:val="18"/>
                <w:szCs w:val="18"/>
              </w:rPr>
              <w:t>Focus Areas</w:t>
            </w:r>
          </w:p>
        </w:tc>
        <w:tc>
          <w:tcPr>
            <w:tcW w:w="0" w:type="auto"/>
            <w:tcBorders>
              <w:top w:val="single" w:sz="4" w:space="0" w:color="auto"/>
              <w:left w:val="single" w:sz="4" w:space="0" w:color="auto"/>
              <w:bottom w:val="single" w:sz="4" w:space="0" w:color="auto"/>
              <w:right w:val="single" w:sz="4" w:space="0" w:color="auto"/>
            </w:tcBorders>
            <w:hideMark/>
          </w:tcPr>
          <w:p w14:paraId="53E8E302" w14:textId="77777777" w:rsidR="00C7720E" w:rsidRDefault="00C7720E">
            <w:pPr>
              <w:cnfStyle w:val="000000000000" w:firstRow="0" w:lastRow="0" w:firstColumn="0" w:lastColumn="0" w:oddVBand="0" w:evenVBand="0" w:oddHBand="0" w:evenHBand="0" w:firstRowFirstColumn="0" w:firstRowLastColumn="0" w:lastRowFirstColumn="0" w:lastRowLastColumn="0"/>
              <w:rPr>
                <w:rFonts w:eastAsiaTheme="minorEastAsia" w:cstheme="majorHAnsi"/>
                <w:b/>
                <w:sz w:val="18"/>
                <w:szCs w:val="18"/>
              </w:rPr>
            </w:pPr>
            <w:r>
              <w:rPr>
                <w:rFonts w:eastAsiaTheme="minorEastAsia" w:cstheme="majorHAnsi"/>
                <w:b/>
                <w:sz w:val="18"/>
                <w:szCs w:val="18"/>
              </w:rPr>
              <w:t>Government action</w:t>
            </w:r>
          </w:p>
        </w:tc>
        <w:tc>
          <w:tcPr>
            <w:tcW w:w="0" w:type="auto"/>
            <w:tcBorders>
              <w:top w:val="single" w:sz="4" w:space="0" w:color="auto"/>
              <w:left w:val="single" w:sz="4" w:space="0" w:color="auto"/>
              <w:bottom w:val="single" w:sz="4" w:space="0" w:color="auto"/>
              <w:right w:val="single" w:sz="4" w:space="0" w:color="auto"/>
            </w:tcBorders>
            <w:hideMark/>
          </w:tcPr>
          <w:p w14:paraId="285996C0" w14:textId="77777777" w:rsidR="00C7720E" w:rsidRDefault="00C7720E">
            <w:pPr>
              <w:cnfStyle w:val="000000000000" w:firstRow="0" w:lastRow="0" w:firstColumn="0" w:lastColumn="0" w:oddVBand="0" w:evenVBand="0" w:oddHBand="0" w:evenHBand="0" w:firstRowFirstColumn="0" w:firstRowLastColumn="0" w:lastRowFirstColumn="0" w:lastRowLastColumn="0"/>
              <w:rPr>
                <w:rFonts w:eastAsiaTheme="minorEastAsia" w:cstheme="majorHAnsi"/>
                <w:b/>
                <w:sz w:val="18"/>
                <w:szCs w:val="18"/>
              </w:rPr>
            </w:pPr>
            <w:r>
              <w:rPr>
                <w:rFonts w:eastAsiaTheme="minorEastAsia" w:cstheme="majorHAnsi"/>
                <w:b/>
                <w:sz w:val="18"/>
                <w:szCs w:val="18"/>
              </w:rPr>
              <w:t>Indicators and targets</w:t>
            </w:r>
          </w:p>
        </w:tc>
        <w:tc>
          <w:tcPr>
            <w:tcW w:w="0" w:type="auto"/>
            <w:tcBorders>
              <w:top w:val="single" w:sz="4" w:space="0" w:color="auto"/>
              <w:left w:val="single" w:sz="4" w:space="0" w:color="auto"/>
              <w:bottom w:val="single" w:sz="4" w:space="0" w:color="auto"/>
              <w:right w:val="single" w:sz="4" w:space="0" w:color="auto"/>
            </w:tcBorders>
            <w:hideMark/>
          </w:tcPr>
          <w:p w14:paraId="0FF9011F" w14:textId="77777777" w:rsidR="00C7720E" w:rsidRDefault="00C7720E">
            <w:pPr>
              <w:cnfStyle w:val="000000000000" w:firstRow="0" w:lastRow="0" w:firstColumn="0" w:lastColumn="0" w:oddVBand="0" w:evenVBand="0" w:oddHBand="0" w:evenHBand="0" w:firstRowFirstColumn="0" w:firstRowLastColumn="0" w:lastRowFirstColumn="0" w:lastRowLastColumn="0"/>
              <w:rPr>
                <w:rFonts w:eastAsiaTheme="minorEastAsia" w:cstheme="majorHAnsi"/>
                <w:b/>
                <w:sz w:val="18"/>
                <w:szCs w:val="18"/>
              </w:rPr>
            </w:pPr>
            <w:r>
              <w:rPr>
                <w:rFonts w:eastAsiaTheme="minorEastAsia" w:cstheme="majorHAnsi"/>
                <w:b/>
                <w:sz w:val="18"/>
                <w:szCs w:val="18"/>
              </w:rPr>
              <w:t>Partners’ support</w:t>
            </w:r>
          </w:p>
        </w:tc>
      </w:tr>
      <w:tr w:rsidR="00C7720E" w14:paraId="5756BA7F" w14:textId="77777777" w:rsidTr="001A702E">
        <w:trPr>
          <w:trHeight w:val="341"/>
        </w:trPr>
        <w:tc>
          <w:tcPr>
            <w:cnfStyle w:val="001000000000" w:firstRow="0" w:lastRow="0" w:firstColumn="1" w:lastColumn="0" w:oddVBand="0" w:evenVBand="0" w:oddHBand="0" w:evenHBand="0" w:firstRowFirstColumn="0" w:firstRowLastColumn="0" w:lastRowFirstColumn="0" w:lastRowLastColumn="0"/>
            <w:tcW w:w="14350" w:type="dxa"/>
            <w:gridSpan w:val="4"/>
            <w:tcBorders>
              <w:top w:val="single" w:sz="4" w:space="0" w:color="auto"/>
              <w:left w:val="single" w:sz="4" w:space="0" w:color="auto"/>
              <w:bottom w:val="single" w:sz="4" w:space="0" w:color="auto"/>
              <w:right w:val="single" w:sz="4" w:space="0" w:color="auto"/>
            </w:tcBorders>
            <w:noWrap/>
            <w:vAlign w:val="center"/>
            <w:hideMark/>
          </w:tcPr>
          <w:p w14:paraId="216914FC" w14:textId="77777777" w:rsidR="00C7720E" w:rsidRDefault="00C7720E">
            <w:pPr>
              <w:rPr>
                <w:rFonts w:eastAsiaTheme="minorEastAsia" w:cstheme="majorHAnsi"/>
                <w:b/>
                <w:sz w:val="18"/>
                <w:szCs w:val="18"/>
              </w:rPr>
            </w:pPr>
            <w:r>
              <w:rPr>
                <w:rFonts w:eastAsiaTheme="minorEastAsia" w:cstheme="majorHAnsi"/>
                <w:b/>
                <w:sz w:val="18"/>
                <w:szCs w:val="18"/>
              </w:rPr>
              <w:t>Macroeconomic framework</w:t>
            </w:r>
          </w:p>
        </w:tc>
      </w:tr>
      <w:tr w:rsidR="000F2E7F" w14:paraId="1145CDA5" w14:textId="77777777" w:rsidTr="001A702E">
        <w:trPr>
          <w:trHeight w:val="1764"/>
        </w:trPr>
        <w:tc>
          <w:tcPr>
            <w:cnfStyle w:val="001000000000" w:firstRow="0" w:lastRow="0" w:firstColumn="1" w:lastColumn="0" w:oddVBand="0" w:evenVBand="0" w:oddHBand="0" w:evenHBand="0" w:firstRowFirstColumn="0" w:firstRowLastColumn="0" w:lastRowFirstColumn="0" w:lastRowLastColumn="0"/>
            <w:tcW w:w="5830" w:type="dxa"/>
            <w:tcBorders>
              <w:top w:val="single" w:sz="4" w:space="0" w:color="auto"/>
              <w:left w:val="single" w:sz="4" w:space="0" w:color="auto"/>
              <w:right w:val="single" w:sz="4" w:space="0" w:color="auto"/>
            </w:tcBorders>
          </w:tcPr>
          <w:p w14:paraId="353D87C2" w14:textId="77777777" w:rsidR="00C7720E" w:rsidRDefault="00C7720E" w:rsidP="00FB456C">
            <w:pPr>
              <w:tabs>
                <w:tab w:val="left" w:pos="2375"/>
              </w:tabs>
              <w:rPr>
                <w:rFonts w:eastAsiaTheme="minorEastAsia" w:cstheme="majorHAnsi"/>
                <w:sz w:val="18"/>
                <w:szCs w:val="18"/>
              </w:rPr>
            </w:pPr>
            <w:r>
              <w:rPr>
                <w:rFonts w:eastAsiaTheme="minorEastAsia" w:cstheme="majorHAnsi"/>
                <w:sz w:val="18"/>
                <w:szCs w:val="18"/>
              </w:rPr>
              <w:t xml:space="preserve">Domestic revenue mobilization </w:t>
            </w:r>
          </w:p>
          <w:p w14:paraId="148DED5A" w14:textId="77777777" w:rsidR="00DE6465" w:rsidRDefault="00DE6465" w:rsidP="00FB456C">
            <w:pPr>
              <w:tabs>
                <w:tab w:val="left" w:pos="2375"/>
              </w:tabs>
              <w:rPr>
                <w:rFonts w:eastAsiaTheme="minorEastAsia" w:cstheme="majorHAnsi"/>
                <w:sz w:val="18"/>
                <w:szCs w:val="18"/>
              </w:rPr>
            </w:pPr>
          </w:p>
          <w:p w14:paraId="23D7614D" w14:textId="77777777" w:rsidR="005878E4" w:rsidRDefault="005878E4" w:rsidP="00FB456C">
            <w:pPr>
              <w:tabs>
                <w:tab w:val="left" w:pos="2375"/>
              </w:tabs>
              <w:rPr>
                <w:rFonts w:eastAsiaTheme="minorEastAsia" w:cstheme="majorHAnsi"/>
                <w:sz w:val="18"/>
                <w:szCs w:val="18"/>
              </w:rPr>
            </w:pPr>
          </w:p>
          <w:p w14:paraId="18BC8504" w14:textId="77777777" w:rsidR="005878E4" w:rsidRDefault="005878E4" w:rsidP="00FB456C">
            <w:pPr>
              <w:tabs>
                <w:tab w:val="left" w:pos="2375"/>
              </w:tabs>
              <w:rPr>
                <w:rFonts w:eastAsiaTheme="minorEastAsia" w:cstheme="majorHAnsi"/>
                <w:sz w:val="18"/>
                <w:szCs w:val="18"/>
              </w:rPr>
            </w:pPr>
          </w:p>
          <w:p w14:paraId="7B429F46" w14:textId="77777777" w:rsidR="00C7720E" w:rsidRDefault="00C7720E" w:rsidP="00FB456C">
            <w:pPr>
              <w:rPr>
                <w:rFonts w:eastAsiaTheme="minorEastAsia" w:cstheme="maj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45E54341" w14:textId="1F79E6B2" w:rsidR="00C7720E" w:rsidRDefault="00C3173B" w:rsidP="000904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sidRPr="00090480">
              <w:rPr>
                <w:rFonts w:eastAsiaTheme="minorEastAsia" w:cstheme="majorHAnsi"/>
                <w:sz w:val="18"/>
                <w:szCs w:val="18"/>
              </w:rPr>
              <w:t xml:space="preserve">To conduct </w:t>
            </w:r>
            <w:r w:rsidR="005878E4" w:rsidRPr="00090480">
              <w:rPr>
                <w:rFonts w:eastAsiaTheme="minorEastAsia" w:cstheme="majorHAnsi"/>
                <w:sz w:val="18"/>
                <w:szCs w:val="18"/>
              </w:rPr>
              <w:t xml:space="preserve">an analysis of the cost/benefits </w:t>
            </w:r>
            <w:r w:rsidRPr="00090480">
              <w:rPr>
                <w:rFonts w:eastAsiaTheme="minorEastAsia" w:cstheme="majorHAnsi"/>
                <w:sz w:val="18"/>
                <w:szCs w:val="18"/>
              </w:rPr>
              <w:t xml:space="preserve">of the current tax incentive regime </w:t>
            </w:r>
            <w:r w:rsidR="00090480">
              <w:rPr>
                <w:rFonts w:eastAsiaTheme="minorEastAsia" w:cstheme="majorHAnsi"/>
                <w:sz w:val="18"/>
                <w:szCs w:val="18"/>
              </w:rPr>
              <w:t xml:space="preserve"> by January 2018</w:t>
            </w:r>
          </w:p>
          <w:p w14:paraId="229408E4" w14:textId="425742CB" w:rsidR="00090480" w:rsidRDefault="00090480" w:rsidP="000904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Pr>
                <w:rFonts w:eastAsiaTheme="minorEastAsia" w:cstheme="majorHAnsi"/>
                <w:sz w:val="18"/>
                <w:szCs w:val="18"/>
              </w:rPr>
              <w:t xml:space="preserve">Upgrade Tax  IT infrastructure to broaden tax base and improve compliance </w:t>
            </w:r>
          </w:p>
          <w:p w14:paraId="7BA7D9A4" w14:textId="658F801B" w:rsidR="00DE6465" w:rsidRPr="00B21BED" w:rsidRDefault="00DE6465" w:rsidP="00B21BED">
            <w:p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71555359" w14:textId="0A74EAD1" w:rsidR="00C7720E" w:rsidRDefault="00C3173B" w:rsidP="0009048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sidRPr="00090480">
              <w:rPr>
                <w:rFonts w:eastAsiaTheme="minorEastAsia" w:cstheme="majorHAnsi"/>
                <w:sz w:val="18"/>
                <w:szCs w:val="18"/>
              </w:rPr>
              <w:t>17/18 tax revenue in relation to GDP at 15.3</w:t>
            </w:r>
            <w:r w:rsidR="005878E4" w:rsidRPr="00090480">
              <w:rPr>
                <w:rFonts w:eastAsiaTheme="minorEastAsia" w:cstheme="majorHAnsi"/>
                <w:sz w:val="18"/>
                <w:szCs w:val="18"/>
              </w:rPr>
              <w:t>%</w:t>
            </w:r>
            <w:r w:rsidRPr="00090480">
              <w:rPr>
                <w:rFonts w:eastAsiaTheme="minorEastAsia" w:cstheme="majorHAnsi"/>
                <w:sz w:val="18"/>
                <w:szCs w:val="18"/>
              </w:rPr>
              <w:t>.</w:t>
            </w:r>
          </w:p>
          <w:p w14:paraId="43598215" w14:textId="23798C2B" w:rsidR="00DE6465" w:rsidRPr="00B21BED" w:rsidRDefault="00DE6465" w:rsidP="00B21BED">
            <w:p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5BE0283C" w14:textId="1277BBE6" w:rsidR="00C60A3B" w:rsidRDefault="00492CD6" w:rsidP="00B21B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sidRPr="0071715E">
              <w:rPr>
                <w:rFonts w:eastAsiaTheme="minorEastAsia" w:cstheme="majorHAnsi"/>
                <w:sz w:val="18"/>
                <w:szCs w:val="18"/>
              </w:rPr>
              <w:t>IMF</w:t>
            </w:r>
            <w:r w:rsidRPr="00B21BED">
              <w:rPr>
                <w:rFonts w:eastAsiaTheme="minorEastAsia" w:cstheme="majorHAnsi"/>
                <w:b/>
                <w:sz w:val="18"/>
                <w:szCs w:val="18"/>
              </w:rPr>
              <w:t xml:space="preserve"> </w:t>
            </w:r>
            <w:r w:rsidR="005878E4" w:rsidRPr="00B21BED">
              <w:rPr>
                <w:rFonts w:eastAsiaTheme="minorEastAsia" w:cstheme="majorHAnsi"/>
                <w:sz w:val="18"/>
                <w:szCs w:val="18"/>
              </w:rPr>
              <w:t xml:space="preserve">will provide </w:t>
            </w:r>
            <w:r w:rsidR="00E366ED">
              <w:rPr>
                <w:rFonts w:eastAsiaTheme="minorEastAsia" w:cstheme="majorHAnsi"/>
                <w:sz w:val="18"/>
                <w:szCs w:val="18"/>
              </w:rPr>
              <w:t>Technical Assistance (</w:t>
            </w:r>
            <w:r w:rsidR="005F29EF" w:rsidRPr="00B21BED">
              <w:rPr>
                <w:rFonts w:eastAsiaTheme="minorEastAsia" w:cstheme="majorHAnsi"/>
                <w:sz w:val="18"/>
                <w:szCs w:val="18"/>
              </w:rPr>
              <w:t>TA</w:t>
            </w:r>
            <w:r w:rsidR="00E366ED">
              <w:rPr>
                <w:rFonts w:eastAsiaTheme="minorEastAsia" w:cstheme="majorHAnsi"/>
                <w:sz w:val="18"/>
                <w:szCs w:val="18"/>
              </w:rPr>
              <w:t>)</w:t>
            </w:r>
            <w:r w:rsidR="005878E4" w:rsidRPr="00B21BED">
              <w:rPr>
                <w:rFonts w:eastAsiaTheme="minorEastAsia" w:cstheme="majorHAnsi"/>
                <w:sz w:val="18"/>
                <w:szCs w:val="18"/>
              </w:rPr>
              <w:t xml:space="preserve"> to conduct the </w:t>
            </w:r>
            <w:r w:rsidR="00B21BED" w:rsidRPr="00B21BED">
              <w:rPr>
                <w:rFonts w:eastAsiaTheme="minorEastAsia" w:cstheme="majorHAnsi"/>
                <w:sz w:val="18"/>
                <w:szCs w:val="18"/>
              </w:rPr>
              <w:t xml:space="preserve">tax incentive regime  </w:t>
            </w:r>
            <w:r w:rsidR="005878E4" w:rsidRPr="00B21BED">
              <w:rPr>
                <w:rFonts w:eastAsiaTheme="minorEastAsia" w:cstheme="majorHAnsi"/>
                <w:sz w:val="18"/>
                <w:szCs w:val="18"/>
              </w:rPr>
              <w:t>analysis</w:t>
            </w:r>
            <w:r w:rsidR="00DE6465" w:rsidRPr="00B21BED">
              <w:rPr>
                <w:rFonts w:eastAsiaTheme="minorEastAsia" w:cstheme="majorHAnsi"/>
                <w:sz w:val="18"/>
                <w:szCs w:val="18"/>
              </w:rPr>
              <w:t xml:space="preserve"> </w:t>
            </w:r>
          </w:p>
          <w:p w14:paraId="30B7B7FD" w14:textId="35DE6BC6" w:rsidR="00B21BED" w:rsidRDefault="00B21BED" w:rsidP="00B21B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sidRPr="0071715E">
              <w:rPr>
                <w:rFonts w:eastAsiaTheme="minorEastAsia" w:cstheme="majorHAnsi"/>
                <w:sz w:val="18"/>
                <w:szCs w:val="18"/>
              </w:rPr>
              <w:t>DFID</w:t>
            </w:r>
            <w:r w:rsidR="009D12B8">
              <w:rPr>
                <w:rFonts w:eastAsiaTheme="minorEastAsia" w:cstheme="majorHAnsi"/>
                <w:sz w:val="18"/>
                <w:szCs w:val="18"/>
              </w:rPr>
              <w:t>, USG and</w:t>
            </w:r>
            <w:r w:rsidR="00E366ED" w:rsidRPr="0071715E">
              <w:rPr>
                <w:rFonts w:eastAsiaTheme="minorEastAsia" w:cstheme="majorHAnsi"/>
                <w:sz w:val="18"/>
                <w:szCs w:val="18"/>
              </w:rPr>
              <w:t xml:space="preserve"> </w:t>
            </w:r>
            <w:proofErr w:type="spellStart"/>
            <w:r w:rsidR="00E366ED" w:rsidRPr="0071715E">
              <w:rPr>
                <w:rFonts w:eastAsiaTheme="minorEastAsia" w:cstheme="majorHAnsi"/>
                <w:sz w:val="18"/>
                <w:szCs w:val="18"/>
              </w:rPr>
              <w:t>KfW</w:t>
            </w:r>
            <w:proofErr w:type="spellEnd"/>
            <w:r w:rsidR="00E366ED" w:rsidRPr="0071715E">
              <w:rPr>
                <w:rFonts w:eastAsiaTheme="minorEastAsia" w:cstheme="majorHAnsi"/>
                <w:sz w:val="18"/>
                <w:szCs w:val="18"/>
              </w:rPr>
              <w:t xml:space="preserve"> to explore scope for supporting</w:t>
            </w:r>
            <w:r w:rsidR="00E366ED">
              <w:rPr>
                <w:rFonts w:eastAsiaTheme="minorEastAsia" w:cstheme="majorHAnsi"/>
                <w:b/>
                <w:sz w:val="18"/>
                <w:szCs w:val="18"/>
              </w:rPr>
              <w:t xml:space="preserve"> </w:t>
            </w:r>
            <w:r>
              <w:rPr>
                <w:rFonts w:eastAsiaTheme="minorEastAsia" w:cstheme="majorHAnsi"/>
                <w:sz w:val="18"/>
                <w:szCs w:val="18"/>
              </w:rPr>
              <w:t xml:space="preserve">Tax IT </w:t>
            </w:r>
            <w:r w:rsidR="009D12B8">
              <w:rPr>
                <w:rFonts w:eastAsiaTheme="minorEastAsia" w:cstheme="majorHAnsi"/>
                <w:sz w:val="18"/>
                <w:szCs w:val="18"/>
              </w:rPr>
              <w:t>infrastructure as</w:t>
            </w:r>
            <w:r w:rsidR="00E366ED">
              <w:rPr>
                <w:rFonts w:eastAsiaTheme="minorEastAsia" w:cstheme="majorHAnsi"/>
                <w:sz w:val="18"/>
                <w:szCs w:val="18"/>
              </w:rPr>
              <w:t xml:space="preserve"> part of new phases of support to RRA.</w:t>
            </w:r>
          </w:p>
          <w:p w14:paraId="3F67EEED" w14:textId="77777777" w:rsidR="00207783" w:rsidRPr="00B21BED" w:rsidRDefault="00207783" w:rsidP="00B21BED">
            <w:p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p>
        </w:tc>
      </w:tr>
      <w:tr w:rsidR="000F2E7F" w14:paraId="5A5F4A30" w14:textId="77777777" w:rsidTr="001A702E">
        <w:trPr>
          <w:trHeight w:val="1293"/>
        </w:trPr>
        <w:tc>
          <w:tcPr>
            <w:cnfStyle w:val="001000000000" w:firstRow="0" w:lastRow="0" w:firstColumn="1" w:lastColumn="0" w:oddVBand="0" w:evenVBand="0" w:oddHBand="0" w:evenHBand="0" w:firstRowFirstColumn="0" w:firstRowLastColumn="0" w:lastRowFirstColumn="0" w:lastRowLastColumn="0"/>
            <w:tcW w:w="5830" w:type="dxa"/>
            <w:tcBorders>
              <w:top w:val="single" w:sz="4" w:space="0" w:color="auto"/>
              <w:left w:val="single" w:sz="4" w:space="0" w:color="auto"/>
              <w:right w:val="single" w:sz="4" w:space="0" w:color="auto"/>
            </w:tcBorders>
          </w:tcPr>
          <w:p w14:paraId="439263A0" w14:textId="552F77D9" w:rsidR="00EF7BAB" w:rsidRDefault="007A3FB9" w:rsidP="00FB456C">
            <w:pPr>
              <w:tabs>
                <w:tab w:val="left" w:pos="2375"/>
              </w:tabs>
              <w:rPr>
                <w:rFonts w:eastAsiaTheme="minorEastAsia" w:cstheme="majorHAnsi"/>
                <w:sz w:val="18"/>
                <w:szCs w:val="18"/>
              </w:rPr>
            </w:pPr>
            <w:proofErr w:type="spellStart"/>
            <w:r>
              <w:rPr>
                <w:rFonts w:eastAsiaTheme="minorEastAsia" w:cstheme="majorHAnsi"/>
                <w:sz w:val="18"/>
                <w:szCs w:val="18"/>
              </w:rPr>
              <w:t>Forex</w:t>
            </w:r>
            <w:proofErr w:type="spellEnd"/>
            <w:r>
              <w:rPr>
                <w:rFonts w:eastAsiaTheme="minorEastAsia" w:cstheme="majorHAnsi"/>
                <w:sz w:val="18"/>
                <w:szCs w:val="18"/>
              </w:rPr>
              <w:t xml:space="preserve"> availability</w:t>
            </w:r>
          </w:p>
        </w:tc>
        <w:tc>
          <w:tcPr>
            <w:tcW w:w="0" w:type="auto"/>
            <w:tcBorders>
              <w:top w:val="single" w:sz="4" w:space="0" w:color="auto"/>
              <w:left w:val="single" w:sz="4" w:space="0" w:color="auto"/>
              <w:bottom w:val="single" w:sz="4" w:space="0" w:color="auto"/>
              <w:right w:val="single" w:sz="4" w:space="0" w:color="auto"/>
            </w:tcBorders>
          </w:tcPr>
          <w:p w14:paraId="6204D0BB" w14:textId="73966ED9" w:rsidR="00EF7BAB" w:rsidRPr="00B21BED" w:rsidRDefault="00EF7BAB" w:rsidP="00B21BE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sidRPr="00B21BED">
              <w:rPr>
                <w:rFonts w:eastAsiaTheme="minorEastAsia" w:cstheme="majorHAnsi"/>
                <w:sz w:val="18"/>
                <w:szCs w:val="18"/>
              </w:rPr>
              <w:t>Establish a financial swap that would lower private sector investment finance</w:t>
            </w:r>
            <w:r w:rsidR="00144CBF">
              <w:rPr>
                <w:rFonts w:eastAsiaTheme="minorEastAsia" w:cstheme="majorHAnsi"/>
                <w:sz w:val="18"/>
                <w:szCs w:val="18"/>
              </w:rPr>
              <w:t xml:space="preserve"> costs</w:t>
            </w:r>
          </w:p>
        </w:tc>
        <w:tc>
          <w:tcPr>
            <w:tcW w:w="0" w:type="auto"/>
            <w:tcBorders>
              <w:top w:val="single" w:sz="4" w:space="0" w:color="auto"/>
              <w:left w:val="single" w:sz="4" w:space="0" w:color="auto"/>
              <w:bottom w:val="single" w:sz="4" w:space="0" w:color="auto"/>
              <w:right w:val="single" w:sz="4" w:space="0" w:color="auto"/>
            </w:tcBorders>
          </w:tcPr>
          <w:p w14:paraId="6DC88D71" w14:textId="6D8CFF6A" w:rsidR="00EF7BAB" w:rsidRPr="00B21BED" w:rsidRDefault="00EF7BAB" w:rsidP="00B21B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sidRPr="00B21BED">
              <w:rPr>
                <w:rFonts w:eastAsiaTheme="minorEastAsia" w:cstheme="majorHAnsi"/>
                <w:sz w:val="18"/>
                <w:szCs w:val="18"/>
              </w:rPr>
              <w:t xml:space="preserve">Lower cost of </w:t>
            </w:r>
            <w:r w:rsidR="00144CBF">
              <w:rPr>
                <w:rFonts w:eastAsiaTheme="minorEastAsia" w:cstheme="majorHAnsi"/>
                <w:sz w:val="18"/>
                <w:szCs w:val="18"/>
              </w:rPr>
              <w:t xml:space="preserve">finance </w:t>
            </w:r>
            <w:r w:rsidRPr="00B21BED">
              <w:rPr>
                <w:rFonts w:eastAsiaTheme="minorEastAsia" w:cstheme="majorHAnsi"/>
                <w:sz w:val="18"/>
                <w:szCs w:val="18"/>
              </w:rPr>
              <w:t xml:space="preserve">for private investors participating in the facility  </w:t>
            </w:r>
          </w:p>
        </w:tc>
        <w:tc>
          <w:tcPr>
            <w:tcW w:w="0" w:type="auto"/>
            <w:tcBorders>
              <w:top w:val="single" w:sz="4" w:space="0" w:color="auto"/>
              <w:left w:val="single" w:sz="4" w:space="0" w:color="auto"/>
              <w:bottom w:val="single" w:sz="4" w:space="0" w:color="auto"/>
              <w:right w:val="single" w:sz="4" w:space="0" w:color="auto"/>
            </w:tcBorders>
          </w:tcPr>
          <w:p w14:paraId="41E71D64" w14:textId="20CB8440" w:rsidR="00EF7BAB" w:rsidRPr="00F8125A" w:rsidRDefault="00E83D0B" w:rsidP="00F8125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proofErr w:type="gramStart"/>
            <w:r w:rsidRPr="009C5308">
              <w:rPr>
                <w:rFonts w:eastAsiaTheme="minorEastAsia" w:cstheme="majorHAnsi"/>
                <w:color w:val="auto"/>
                <w:sz w:val="18"/>
                <w:szCs w:val="18"/>
              </w:rPr>
              <w:t>IFC,</w:t>
            </w:r>
            <w:proofErr w:type="gramEnd"/>
            <w:r w:rsidRPr="009C5308">
              <w:rPr>
                <w:rFonts w:eastAsiaTheme="minorEastAsia" w:cstheme="majorHAnsi"/>
                <w:color w:val="auto"/>
                <w:sz w:val="18"/>
                <w:szCs w:val="18"/>
              </w:rPr>
              <w:t xml:space="preserve"> &amp; IMF to work with the Central Bank of Rwanda on new benchmark for local currency swap arrangement. </w:t>
            </w:r>
            <w:proofErr w:type="spellStart"/>
            <w:r w:rsidR="00F8125A" w:rsidRPr="009C5308">
              <w:rPr>
                <w:bCs/>
                <w:color w:val="auto"/>
                <w:sz w:val="18"/>
                <w:szCs w:val="18"/>
              </w:rPr>
              <w:t>KfW</w:t>
            </w:r>
            <w:proofErr w:type="spellEnd"/>
            <w:r w:rsidR="00F8125A" w:rsidRPr="009C5308">
              <w:rPr>
                <w:bCs/>
                <w:color w:val="auto"/>
                <w:sz w:val="18"/>
                <w:szCs w:val="18"/>
              </w:rPr>
              <w:t xml:space="preserve"> to explore </w:t>
            </w:r>
            <w:proofErr w:type="spellStart"/>
            <w:r w:rsidR="00F8125A" w:rsidRPr="009C5308">
              <w:rPr>
                <w:bCs/>
                <w:color w:val="auto"/>
                <w:sz w:val="18"/>
                <w:szCs w:val="18"/>
              </w:rPr>
              <w:t>f</w:t>
            </w:r>
            <w:r w:rsidR="009C5308">
              <w:rPr>
                <w:bCs/>
                <w:color w:val="auto"/>
                <w:sz w:val="18"/>
                <w:szCs w:val="18"/>
              </w:rPr>
              <w:t>ore</w:t>
            </w:r>
            <w:r w:rsidR="00F8125A" w:rsidRPr="009C5308">
              <w:rPr>
                <w:bCs/>
                <w:color w:val="auto"/>
                <w:sz w:val="18"/>
                <w:szCs w:val="18"/>
              </w:rPr>
              <w:t>x</w:t>
            </w:r>
            <w:proofErr w:type="spellEnd"/>
            <w:r w:rsidR="00F8125A" w:rsidRPr="009C5308">
              <w:rPr>
                <w:bCs/>
                <w:color w:val="auto"/>
                <w:sz w:val="18"/>
                <w:szCs w:val="18"/>
              </w:rPr>
              <w:t xml:space="preserve"> hedging possibilities through the TCX fund it cosponsors</w:t>
            </w:r>
            <w:r w:rsidRPr="009C5308">
              <w:rPr>
                <w:rFonts w:eastAsiaTheme="minorEastAsia" w:cstheme="majorHAnsi"/>
                <w:color w:val="auto"/>
                <w:sz w:val="18"/>
                <w:szCs w:val="18"/>
              </w:rPr>
              <w:t xml:space="preserve"> </w:t>
            </w:r>
          </w:p>
        </w:tc>
      </w:tr>
      <w:tr w:rsidR="00C7720E" w14:paraId="14156580" w14:textId="77777777" w:rsidTr="001A702E">
        <w:trPr>
          <w:trHeight w:val="341"/>
        </w:trPr>
        <w:tc>
          <w:tcPr>
            <w:cnfStyle w:val="001000000000" w:firstRow="0" w:lastRow="0" w:firstColumn="1" w:lastColumn="0" w:oddVBand="0" w:evenVBand="0" w:oddHBand="0" w:evenHBand="0" w:firstRowFirstColumn="0" w:firstRowLastColumn="0" w:lastRowFirstColumn="0" w:lastRowLastColumn="0"/>
            <w:tcW w:w="14350" w:type="dxa"/>
            <w:gridSpan w:val="4"/>
            <w:tcBorders>
              <w:top w:val="single" w:sz="4" w:space="0" w:color="auto"/>
              <w:left w:val="single" w:sz="4" w:space="0" w:color="auto"/>
              <w:bottom w:val="single" w:sz="4" w:space="0" w:color="auto"/>
              <w:right w:val="single" w:sz="4" w:space="0" w:color="auto"/>
            </w:tcBorders>
            <w:noWrap/>
            <w:vAlign w:val="center"/>
            <w:hideMark/>
          </w:tcPr>
          <w:p w14:paraId="3DEEFAB9" w14:textId="77777777" w:rsidR="00C7720E" w:rsidRPr="0071715E" w:rsidRDefault="00C7720E">
            <w:pPr>
              <w:rPr>
                <w:rFonts w:eastAsiaTheme="minorEastAsia" w:cstheme="majorHAnsi"/>
                <w:b/>
                <w:color w:val="auto"/>
                <w:sz w:val="18"/>
                <w:szCs w:val="18"/>
              </w:rPr>
            </w:pPr>
            <w:r w:rsidRPr="0071715E">
              <w:rPr>
                <w:rFonts w:eastAsiaTheme="minorEastAsia" w:cstheme="majorHAnsi"/>
                <w:b/>
                <w:color w:val="auto"/>
                <w:sz w:val="18"/>
                <w:szCs w:val="18"/>
              </w:rPr>
              <w:t>Business Framework</w:t>
            </w:r>
          </w:p>
        </w:tc>
      </w:tr>
      <w:tr w:rsidR="000F2E7F" w14:paraId="698785CB" w14:textId="77777777" w:rsidTr="001A702E">
        <w:trPr>
          <w:trHeight w:val="70"/>
        </w:trPr>
        <w:tc>
          <w:tcPr>
            <w:cnfStyle w:val="001000000000" w:firstRow="0" w:lastRow="0" w:firstColumn="1" w:lastColumn="0" w:oddVBand="0" w:evenVBand="0" w:oddHBand="0" w:evenHBand="0" w:firstRowFirstColumn="0" w:firstRowLastColumn="0" w:lastRowFirstColumn="0" w:lastRowLastColumn="0"/>
            <w:tcW w:w="5830" w:type="dxa"/>
            <w:tcBorders>
              <w:left w:val="single" w:sz="4" w:space="0" w:color="auto"/>
              <w:right w:val="single" w:sz="4" w:space="0" w:color="auto"/>
            </w:tcBorders>
          </w:tcPr>
          <w:p w14:paraId="47E96445" w14:textId="430D08C6" w:rsidR="0066564A" w:rsidRPr="0066564A" w:rsidRDefault="0066564A" w:rsidP="0066564A">
            <w:pPr>
              <w:rPr>
                <w:rFonts w:eastAsiaTheme="minorEastAsia" w:cstheme="majorHAnsi"/>
                <w:sz w:val="18"/>
                <w:szCs w:val="18"/>
              </w:rPr>
            </w:pPr>
            <w:r>
              <w:rPr>
                <w:rFonts w:eastAsiaTheme="minorEastAsia" w:cstheme="majorHAnsi"/>
                <w:sz w:val="18"/>
                <w:szCs w:val="18"/>
              </w:rPr>
              <w:t xml:space="preserve">Develop industrial parks to attract and facilitate investment </w:t>
            </w:r>
          </w:p>
          <w:p w14:paraId="5FB889C6" w14:textId="77777777" w:rsidR="0066564A" w:rsidRDefault="0066564A">
            <w:pPr>
              <w:rPr>
                <w:rFonts w:eastAsiaTheme="minorEastAsia" w:cstheme="majorHAnsi"/>
                <w:sz w:val="18"/>
                <w:szCs w:val="18"/>
              </w:rPr>
            </w:pPr>
          </w:p>
          <w:p w14:paraId="458A618C" w14:textId="77777777" w:rsidR="0066564A" w:rsidRDefault="0066564A">
            <w:pPr>
              <w:rPr>
                <w:rFonts w:eastAsiaTheme="minorEastAsia" w:cstheme="majorHAnsi"/>
                <w:sz w:val="18"/>
                <w:szCs w:val="18"/>
              </w:rPr>
            </w:pPr>
          </w:p>
          <w:p w14:paraId="68CD11EC" w14:textId="77777777" w:rsidR="0066564A" w:rsidRDefault="0066564A">
            <w:pPr>
              <w:rPr>
                <w:rFonts w:eastAsiaTheme="minorEastAsia" w:cstheme="majorHAnsi"/>
                <w:sz w:val="18"/>
                <w:szCs w:val="18"/>
              </w:rPr>
            </w:pPr>
          </w:p>
          <w:p w14:paraId="1E357150" w14:textId="77777777" w:rsidR="0066564A" w:rsidRDefault="0066564A">
            <w:pPr>
              <w:rPr>
                <w:rFonts w:eastAsiaTheme="minorEastAsia" w:cstheme="majorHAnsi"/>
                <w:sz w:val="18"/>
                <w:szCs w:val="18"/>
              </w:rPr>
            </w:pPr>
          </w:p>
          <w:p w14:paraId="0348D718" w14:textId="77777777" w:rsidR="0066564A" w:rsidRDefault="0066564A">
            <w:pPr>
              <w:rPr>
                <w:rFonts w:eastAsiaTheme="minorEastAsia" w:cstheme="majorHAnsi"/>
                <w:sz w:val="18"/>
                <w:szCs w:val="18"/>
              </w:rPr>
            </w:pPr>
          </w:p>
          <w:p w14:paraId="46B89C1B" w14:textId="77777777" w:rsidR="00C1126A" w:rsidRPr="006625C7" w:rsidRDefault="00C1126A" w:rsidP="006625C7">
            <w:pPr>
              <w:rPr>
                <w:rFonts w:eastAsiaTheme="minorEastAsia" w:cstheme="maj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5011AB71" w14:textId="391F24B3" w:rsidR="0066564A" w:rsidRDefault="0066564A" w:rsidP="0066564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Pr>
                <w:rFonts w:eastAsiaTheme="minorEastAsia" w:cstheme="majorHAnsi"/>
                <w:sz w:val="18"/>
                <w:szCs w:val="18"/>
              </w:rPr>
              <w:t xml:space="preserve">Conduct feasibility study that will inform </w:t>
            </w:r>
            <w:proofErr w:type="spellStart"/>
            <w:r>
              <w:rPr>
                <w:rFonts w:eastAsiaTheme="minorEastAsia" w:cstheme="majorHAnsi"/>
                <w:sz w:val="18"/>
                <w:szCs w:val="18"/>
              </w:rPr>
              <w:t>GoR</w:t>
            </w:r>
            <w:proofErr w:type="spellEnd"/>
            <w:r>
              <w:rPr>
                <w:rFonts w:eastAsiaTheme="minorEastAsia" w:cstheme="majorHAnsi"/>
                <w:sz w:val="18"/>
                <w:szCs w:val="18"/>
              </w:rPr>
              <w:t xml:space="preserve"> policy on industrial parks development</w:t>
            </w:r>
          </w:p>
          <w:p w14:paraId="50EAEB7C" w14:textId="77777777" w:rsidR="0066564A" w:rsidRDefault="0066564A">
            <w:p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p>
          <w:p w14:paraId="5F58E14A" w14:textId="77777777" w:rsidR="0066564A" w:rsidRDefault="0066564A">
            <w:p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p>
          <w:p w14:paraId="15FC4F5E" w14:textId="7B67212B" w:rsidR="00B04C08" w:rsidRPr="008B78F6" w:rsidRDefault="00B04C08" w:rsidP="006625C7">
            <w:pPr>
              <w:cnfStyle w:val="000000000000" w:firstRow="0" w:lastRow="0" w:firstColumn="0" w:lastColumn="0" w:oddVBand="0" w:evenVBand="0" w:oddHBand="0" w:evenHBand="0" w:firstRowFirstColumn="0" w:firstRowLastColumn="0" w:lastRowFirstColumn="0" w:lastRowLastColumn="0"/>
              <w:rPr>
                <w:rFonts w:ascii="Calibri" w:eastAsia="PMingLiU" w:hAnsi="Calibri" w:cs="Calibri Light"/>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980F87C" w14:textId="2DD8FE52" w:rsidR="0066564A" w:rsidRPr="0066564A" w:rsidRDefault="0066564A" w:rsidP="0066564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sidRPr="0066564A">
              <w:rPr>
                <w:rFonts w:eastAsiaTheme="minorEastAsia" w:cstheme="majorHAnsi"/>
                <w:sz w:val="18"/>
                <w:szCs w:val="18"/>
              </w:rPr>
              <w:t>$</w:t>
            </w:r>
            <w:proofErr w:type="spellStart"/>
            <w:r w:rsidRPr="0066564A">
              <w:rPr>
                <w:rFonts w:eastAsiaTheme="minorEastAsia" w:cstheme="majorHAnsi"/>
                <w:sz w:val="18"/>
                <w:szCs w:val="18"/>
              </w:rPr>
              <w:t>xm</w:t>
            </w:r>
            <w:proofErr w:type="spellEnd"/>
            <w:r w:rsidRPr="0066564A">
              <w:rPr>
                <w:rFonts w:eastAsiaTheme="minorEastAsia" w:cstheme="majorHAnsi"/>
                <w:sz w:val="18"/>
                <w:szCs w:val="18"/>
              </w:rPr>
              <w:t xml:space="preserve"> in investments attracted to Rwanda’s industrial parks </w:t>
            </w:r>
          </w:p>
          <w:p w14:paraId="4010BD8D" w14:textId="77777777" w:rsidR="0066564A" w:rsidRDefault="0066564A">
            <w:p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p>
          <w:p w14:paraId="75E8CFBD" w14:textId="33497FAA" w:rsidR="00D40172" w:rsidRPr="00D40172" w:rsidRDefault="00D40172" w:rsidP="0050579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11E111C" w14:textId="7DE0BBE8" w:rsidR="0066564A" w:rsidRPr="0071715E" w:rsidRDefault="0066564A" w:rsidP="0066564A">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71715E">
              <w:rPr>
                <w:rFonts w:eastAsiaTheme="minorEastAsia" w:cstheme="majorHAnsi"/>
                <w:color w:val="auto"/>
                <w:sz w:val="18"/>
                <w:szCs w:val="18"/>
              </w:rPr>
              <w:t xml:space="preserve">DFID funded Invest Africa to support and </w:t>
            </w:r>
            <w:r w:rsidR="00E366ED" w:rsidRPr="0071715E">
              <w:rPr>
                <w:rFonts w:eastAsiaTheme="minorEastAsia" w:cstheme="majorHAnsi"/>
                <w:color w:val="auto"/>
                <w:sz w:val="18"/>
                <w:szCs w:val="18"/>
              </w:rPr>
              <w:t xml:space="preserve">facilitate </w:t>
            </w:r>
            <w:r w:rsidRPr="0071715E">
              <w:rPr>
                <w:rFonts w:eastAsiaTheme="minorEastAsia" w:cstheme="majorHAnsi"/>
                <w:color w:val="auto"/>
                <w:sz w:val="18"/>
                <w:szCs w:val="18"/>
              </w:rPr>
              <w:t>investments attraction</w:t>
            </w:r>
          </w:p>
          <w:p w14:paraId="3F1C7DA0" w14:textId="1DB3F9FC" w:rsidR="008404B0" w:rsidRPr="0071715E" w:rsidRDefault="0066564A" w:rsidP="00161F4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71715E">
              <w:rPr>
                <w:rFonts w:eastAsiaTheme="minorEastAsia" w:cstheme="majorHAnsi"/>
                <w:color w:val="auto"/>
                <w:sz w:val="18"/>
                <w:szCs w:val="18"/>
              </w:rPr>
              <w:t>IFC</w:t>
            </w:r>
            <w:r w:rsidR="00161F40" w:rsidRPr="0071715E">
              <w:rPr>
                <w:rFonts w:eastAsiaTheme="minorEastAsia" w:cstheme="majorHAnsi"/>
                <w:color w:val="auto"/>
                <w:sz w:val="18"/>
                <w:szCs w:val="18"/>
              </w:rPr>
              <w:t xml:space="preserve"> has been asked by </w:t>
            </w:r>
            <w:proofErr w:type="spellStart"/>
            <w:r w:rsidR="00161F40" w:rsidRPr="0071715E">
              <w:rPr>
                <w:rFonts w:eastAsiaTheme="minorEastAsia" w:cstheme="majorHAnsi"/>
                <w:color w:val="auto"/>
                <w:sz w:val="18"/>
                <w:szCs w:val="18"/>
              </w:rPr>
              <w:t>Mini</w:t>
            </w:r>
            <w:r w:rsidR="00E366ED" w:rsidRPr="0071715E">
              <w:rPr>
                <w:rFonts w:eastAsiaTheme="minorEastAsia" w:cstheme="majorHAnsi"/>
                <w:color w:val="auto"/>
                <w:sz w:val="18"/>
                <w:szCs w:val="18"/>
              </w:rPr>
              <w:t>c</w:t>
            </w:r>
            <w:r w:rsidR="00161F40" w:rsidRPr="0071715E">
              <w:rPr>
                <w:rFonts w:eastAsiaTheme="minorEastAsia" w:cstheme="majorHAnsi"/>
                <w:color w:val="auto"/>
                <w:sz w:val="18"/>
                <w:szCs w:val="18"/>
              </w:rPr>
              <w:t>om</w:t>
            </w:r>
            <w:proofErr w:type="spellEnd"/>
            <w:r w:rsidR="00161F40" w:rsidRPr="0071715E">
              <w:rPr>
                <w:rFonts w:eastAsiaTheme="minorEastAsia" w:cstheme="majorHAnsi"/>
                <w:color w:val="auto"/>
                <w:sz w:val="18"/>
                <w:szCs w:val="18"/>
              </w:rPr>
              <w:t xml:space="preserve"> to  structure a PPP for Industrial Park –This imply conducting feasibility study as well as crowding in Private Sector  on competitive basis</w:t>
            </w:r>
          </w:p>
        </w:tc>
      </w:tr>
      <w:tr w:rsidR="000F2E7F" w14:paraId="5EE83D7C" w14:textId="77777777" w:rsidTr="001A702E">
        <w:trPr>
          <w:trHeight w:val="70"/>
        </w:trPr>
        <w:tc>
          <w:tcPr>
            <w:cnfStyle w:val="001000000000" w:firstRow="0" w:lastRow="0" w:firstColumn="1" w:lastColumn="0" w:oddVBand="0" w:evenVBand="0" w:oddHBand="0" w:evenHBand="0" w:firstRowFirstColumn="0" w:firstRowLastColumn="0" w:lastRowFirstColumn="0" w:lastRowLastColumn="0"/>
            <w:tcW w:w="5830" w:type="dxa"/>
            <w:tcBorders>
              <w:left w:val="single" w:sz="4" w:space="0" w:color="auto"/>
              <w:right w:val="single" w:sz="4" w:space="0" w:color="auto"/>
            </w:tcBorders>
          </w:tcPr>
          <w:p w14:paraId="5BCD5565" w14:textId="64FA8504" w:rsidR="006625C7" w:rsidRDefault="006625C7" w:rsidP="0066564A">
            <w:pPr>
              <w:rPr>
                <w:rFonts w:eastAsiaTheme="minorEastAsia" w:cstheme="majorHAnsi"/>
                <w:sz w:val="18"/>
                <w:szCs w:val="18"/>
              </w:rPr>
            </w:pPr>
            <w:r>
              <w:rPr>
                <w:rFonts w:eastAsiaTheme="minorEastAsia" w:cstheme="majorHAnsi"/>
                <w:sz w:val="18"/>
                <w:szCs w:val="18"/>
              </w:rPr>
              <w:t xml:space="preserve">Strengthening investor aftercare, dialogue and monitoring </w:t>
            </w:r>
          </w:p>
        </w:tc>
        <w:tc>
          <w:tcPr>
            <w:tcW w:w="0" w:type="auto"/>
            <w:tcBorders>
              <w:top w:val="single" w:sz="4" w:space="0" w:color="auto"/>
              <w:left w:val="single" w:sz="4" w:space="0" w:color="auto"/>
              <w:bottom w:val="single" w:sz="4" w:space="0" w:color="auto"/>
              <w:right w:val="single" w:sz="4" w:space="0" w:color="auto"/>
            </w:tcBorders>
          </w:tcPr>
          <w:p w14:paraId="1D576283" w14:textId="6B76D025" w:rsidR="006625C7" w:rsidRDefault="006625C7" w:rsidP="006625C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Pr>
                <w:rFonts w:eastAsiaTheme="minorEastAsia" w:cstheme="majorHAnsi"/>
                <w:sz w:val="18"/>
                <w:szCs w:val="18"/>
              </w:rPr>
              <w:t xml:space="preserve">Institute a quarterly investment roundtable </w:t>
            </w:r>
            <w:r w:rsidR="00D67E74">
              <w:rPr>
                <w:rFonts w:eastAsiaTheme="minorEastAsia" w:cstheme="majorHAnsi"/>
                <w:sz w:val="18"/>
                <w:szCs w:val="18"/>
              </w:rPr>
              <w:t>to resolve investor issues</w:t>
            </w:r>
          </w:p>
          <w:p w14:paraId="119D07C7" w14:textId="77777777" w:rsidR="00D67E74" w:rsidRDefault="00D67E74" w:rsidP="00D67E7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Pr>
                <w:rFonts w:eastAsiaTheme="minorEastAsia" w:cstheme="majorHAnsi"/>
                <w:sz w:val="18"/>
                <w:szCs w:val="18"/>
              </w:rPr>
              <w:t xml:space="preserve">Implement the systemic investment response mechanism </w:t>
            </w:r>
          </w:p>
          <w:p w14:paraId="6F51EE9D" w14:textId="259905BA" w:rsidR="00D67E74" w:rsidRPr="00D67E74" w:rsidRDefault="00D67E74" w:rsidP="00D67E7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Pr>
                <w:rFonts w:eastAsiaTheme="minorEastAsia" w:cstheme="majorHAnsi"/>
                <w:sz w:val="18"/>
                <w:szCs w:val="18"/>
              </w:rPr>
              <w:t xml:space="preserve">Strengthen advocacy capacity of </w:t>
            </w:r>
            <w:r w:rsidR="00E366ED">
              <w:rPr>
                <w:rFonts w:eastAsiaTheme="minorEastAsia" w:cstheme="majorHAnsi"/>
                <w:sz w:val="18"/>
                <w:szCs w:val="18"/>
              </w:rPr>
              <w:t>Private Sector Federation (</w:t>
            </w:r>
            <w:r>
              <w:rPr>
                <w:rFonts w:eastAsiaTheme="minorEastAsia" w:cstheme="majorHAnsi"/>
                <w:sz w:val="18"/>
                <w:szCs w:val="18"/>
              </w:rPr>
              <w:t>PSF</w:t>
            </w:r>
            <w:r w:rsidR="00E366ED">
              <w:rPr>
                <w:rFonts w:eastAsiaTheme="minorEastAsia" w:cstheme="majorHAnsi"/>
                <w:sz w:val="18"/>
                <w:szCs w:val="18"/>
              </w:rPr>
              <w:t>)</w:t>
            </w:r>
            <w:r>
              <w:rPr>
                <w:rFonts w:eastAsiaTheme="minorEastAsia" w:cstheme="majorHAnsi"/>
                <w:sz w:val="18"/>
                <w:szCs w:val="18"/>
              </w:rPr>
              <w:t xml:space="preserve"> to influence investment policy</w:t>
            </w:r>
          </w:p>
        </w:tc>
        <w:tc>
          <w:tcPr>
            <w:tcW w:w="0" w:type="auto"/>
            <w:tcBorders>
              <w:top w:val="single" w:sz="4" w:space="0" w:color="auto"/>
              <w:left w:val="single" w:sz="4" w:space="0" w:color="auto"/>
              <w:bottom w:val="single" w:sz="4" w:space="0" w:color="auto"/>
              <w:right w:val="single" w:sz="4" w:space="0" w:color="auto"/>
            </w:tcBorders>
          </w:tcPr>
          <w:p w14:paraId="4B7DA36D" w14:textId="77777777" w:rsidR="006625C7" w:rsidRDefault="00D67E74" w:rsidP="00D67E7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Pr>
                <w:rFonts w:eastAsiaTheme="minorEastAsia" w:cstheme="majorHAnsi"/>
                <w:sz w:val="18"/>
                <w:szCs w:val="18"/>
              </w:rPr>
              <w:t xml:space="preserve">Reduced number of investment complaints </w:t>
            </w:r>
          </w:p>
          <w:p w14:paraId="3B3AF535" w14:textId="77777777" w:rsidR="00D67E74" w:rsidRDefault="00D67E74" w:rsidP="00D67E7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Pr>
                <w:rFonts w:eastAsiaTheme="minorEastAsia" w:cstheme="majorHAnsi"/>
                <w:sz w:val="18"/>
                <w:szCs w:val="18"/>
              </w:rPr>
              <w:t>Surveys indication higher levels of investor satisfaction</w:t>
            </w:r>
          </w:p>
          <w:p w14:paraId="353BDE98" w14:textId="3EE1419C" w:rsidR="00D67E74" w:rsidRPr="00D67E74" w:rsidRDefault="00D67E74" w:rsidP="00D67E7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Pr>
                <w:rFonts w:eastAsiaTheme="minorEastAsia" w:cstheme="majorHAnsi"/>
                <w:sz w:val="18"/>
                <w:szCs w:val="18"/>
              </w:rPr>
              <w:t xml:space="preserve">Number of policy changes effected as </w:t>
            </w:r>
            <w:r>
              <w:rPr>
                <w:rFonts w:eastAsiaTheme="minorEastAsia" w:cstheme="majorHAnsi"/>
                <w:sz w:val="18"/>
                <w:szCs w:val="18"/>
              </w:rPr>
              <w:lastRenderedPageBreak/>
              <w:t xml:space="preserve">a result of PSF advocacy </w:t>
            </w:r>
          </w:p>
        </w:tc>
        <w:tc>
          <w:tcPr>
            <w:tcW w:w="0" w:type="auto"/>
            <w:tcBorders>
              <w:top w:val="single" w:sz="4" w:space="0" w:color="auto"/>
              <w:left w:val="single" w:sz="4" w:space="0" w:color="auto"/>
              <w:bottom w:val="single" w:sz="4" w:space="0" w:color="auto"/>
              <w:right w:val="single" w:sz="4" w:space="0" w:color="auto"/>
            </w:tcBorders>
          </w:tcPr>
          <w:p w14:paraId="2C79ACDF" w14:textId="08B57D67" w:rsidR="006625C7" w:rsidRDefault="00D67E74" w:rsidP="00D67E7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sidRPr="0071715E">
              <w:rPr>
                <w:rFonts w:eastAsiaTheme="minorEastAsia" w:cstheme="majorHAnsi"/>
                <w:sz w:val="18"/>
                <w:szCs w:val="18"/>
              </w:rPr>
              <w:lastRenderedPageBreak/>
              <w:t>DFID</w:t>
            </w:r>
            <w:r>
              <w:rPr>
                <w:rFonts w:eastAsiaTheme="minorEastAsia" w:cstheme="majorHAnsi"/>
                <w:sz w:val="18"/>
                <w:szCs w:val="18"/>
              </w:rPr>
              <w:t xml:space="preserve"> to provide TA to secretariat through Invest Africa</w:t>
            </w:r>
          </w:p>
          <w:p w14:paraId="2E73E3B2" w14:textId="77777777" w:rsidR="00D67E74" w:rsidRDefault="00D67E74" w:rsidP="00D67E7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sidRPr="0071715E">
              <w:rPr>
                <w:rFonts w:eastAsiaTheme="minorEastAsia" w:cstheme="majorHAnsi"/>
                <w:sz w:val="18"/>
                <w:szCs w:val="18"/>
              </w:rPr>
              <w:t>DFID</w:t>
            </w:r>
            <w:r>
              <w:rPr>
                <w:rFonts w:eastAsiaTheme="minorEastAsia" w:cstheme="majorHAnsi"/>
                <w:sz w:val="18"/>
                <w:szCs w:val="18"/>
              </w:rPr>
              <w:t xml:space="preserve"> to fund SIRM through Invest Africa  to be implemented by WBG</w:t>
            </w:r>
          </w:p>
          <w:p w14:paraId="54D733BA" w14:textId="78DAEE76" w:rsidR="00D67E74" w:rsidRPr="00D67E74" w:rsidRDefault="009D12B8" w:rsidP="009D12B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Pr>
                <w:rFonts w:eastAsiaTheme="minorEastAsia" w:cstheme="majorHAnsi"/>
                <w:sz w:val="18"/>
                <w:szCs w:val="18"/>
              </w:rPr>
              <w:t xml:space="preserve">USG </w:t>
            </w:r>
            <w:r w:rsidR="00D67E74">
              <w:rPr>
                <w:rFonts w:eastAsiaTheme="minorEastAsia" w:cstheme="majorHAnsi"/>
                <w:sz w:val="18"/>
                <w:szCs w:val="18"/>
              </w:rPr>
              <w:t xml:space="preserve">to provide TA to PSF </w:t>
            </w:r>
            <w:r>
              <w:rPr>
                <w:rFonts w:eastAsiaTheme="minorEastAsia" w:cstheme="majorHAnsi"/>
                <w:sz w:val="18"/>
                <w:szCs w:val="18"/>
              </w:rPr>
              <w:t>and RDB</w:t>
            </w:r>
          </w:p>
        </w:tc>
      </w:tr>
      <w:tr w:rsidR="000F2E7F" w14:paraId="18D8EBBF" w14:textId="77777777" w:rsidTr="001A702E">
        <w:trPr>
          <w:trHeight w:val="70"/>
        </w:trPr>
        <w:tc>
          <w:tcPr>
            <w:cnfStyle w:val="001000000000" w:firstRow="0" w:lastRow="0" w:firstColumn="1" w:lastColumn="0" w:oddVBand="0" w:evenVBand="0" w:oddHBand="0" w:evenHBand="0" w:firstRowFirstColumn="0" w:firstRowLastColumn="0" w:lastRowFirstColumn="0" w:lastRowLastColumn="0"/>
            <w:tcW w:w="5830" w:type="dxa"/>
            <w:tcBorders>
              <w:left w:val="single" w:sz="4" w:space="0" w:color="auto"/>
              <w:right w:val="single" w:sz="4" w:space="0" w:color="auto"/>
            </w:tcBorders>
          </w:tcPr>
          <w:p w14:paraId="58BC49EB" w14:textId="20691B61" w:rsidR="00D67E74" w:rsidRDefault="00C22BE9" w:rsidP="0066564A">
            <w:pPr>
              <w:rPr>
                <w:rFonts w:eastAsiaTheme="minorEastAsia" w:cstheme="majorHAnsi"/>
                <w:sz w:val="18"/>
                <w:szCs w:val="18"/>
              </w:rPr>
            </w:pPr>
            <w:r>
              <w:rPr>
                <w:rFonts w:eastAsiaTheme="minorEastAsia" w:cstheme="majorHAnsi"/>
                <w:sz w:val="18"/>
                <w:szCs w:val="18"/>
              </w:rPr>
              <w:lastRenderedPageBreak/>
              <w:t xml:space="preserve">Establish a project preparation fund </w:t>
            </w:r>
          </w:p>
        </w:tc>
        <w:tc>
          <w:tcPr>
            <w:tcW w:w="0" w:type="auto"/>
            <w:tcBorders>
              <w:top w:val="single" w:sz="4" w:space="0" w:color="auto"/>
              <w:left w:val="single" w:sz="4" w:space="0" w:color="auto"/>
              <w:bottom w:val="single" w:sz="4" w:space="0" w:color="auto"/>
              <w:right w:val="single" w:sz="4" w:space="0" w:color="auto"/>
            </w:tcBorders>
          </w:tcPr>
          <w:p w14:paraId="4A6CAE43" w14:textId="60B08B67" w:rsidR="00D67E74" w:rsidRPr="00C22BE9" w:rsidRDefault="00C22BE9" w:rsidP="00C22BE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sidRPr="00C22BE9">
              <w:rPr>
                <w:rFonts w:eastAsiaTheme="minorEastAsia" w:cstheme="majorHAnsi"/>
                <w:sz w:val="18"/>
                <w:szCs w:val="18"/>
              </w:rPr>
              <w:t>Developing a pipeline of projects to attract private investors (</w:t>
            </w:r>
            <w:proofErr w:type="spellStart"/>
            <w:r w:rsidRPr="00C22BE9">
              <w:rPr>
                <w:rFonts w:eastAsiaTheme="minorEastAsia" w:cstheme="majorHAnsi"/>
                <w:sz w:val="18"/>
                <w:szCs w:val="18"/>
              </w:rPr>
              <w:t>incl</w:t>
            </w:r>
            <w:proofErr w:type="spellEnd"/>
            <w:r w:rsidRPr="00C22BE9">
              <w:rPr>
                <w:rFonts w:eastAsiaTheme="minorEastAsia" w:cstheme="majorHAnsi"/>
                <w:sz w:val="18"/>
                <w:szCs w:val="18"/>
              </w:rPr>
              <w:t xml:space="preserve"> PPP)</w:t>
            </w:r>
          </w:p>
        </w:tc>
        <w:tc>
          <w:tcPr>
            <w:tcW w:w="0" w:type="auto"/>
            <w:tcBorders>
              <w:top w:val="single" w:sz="4" w:space="0" w:color="auto"/>
              <w:left w:val="single" w:sz="4" w:space="0" w:color="auto"/>
              <w:bottom w:val="single" w:sz="4" w:space="0" w:color="auto"/>
              <w:right w:val="single" w:sz="4" w:space="0" w:color="auto"/>
            </w:tcBorders>
          </w:tcPr>
          <w:p w14:paraId="46661DC6" w14:textId="20181C5E" w:rsidR="00D67E74" w:rsidRPr="00C22BE9" w:rsidRDefault="00C22BE9" w:rsidP="00C22BE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sidRPr="00C22BE9">
              <w:rPr>
                <w:rFonts w:eastAsiaTheme="minorEastAsia" w:cstheme="majorHAnsi"/>
                <w:sz w:val="18"/>
                <w:szCs w:val="18"/>
              </w:rPr>
              <w:t>Number of investors attracted</w:t>
            </w:r>
          </w:p>
        </w:tc>
        <w:tc>
          <w:tcPr>
            <w:tcW w:w="0" w:type="auto"/>
            <w:tcBorders>
              <w:top w:val="single" w:sz="4" w:space="0" w:color="auto"/>
              <w:left w:val="single" w:sz="4" w:space="0" w:color="auto"/>
              <w:bottom w:val="single" w:sz="4" w:space="0" w:color="auto"/>
              <w:right w:val="single" w:sz="4" w:space="0" w:color="auto"/>
            </w:tcBorders>
          </w:tcPr>
          <w:p w14:paraId="0BC4578F" w14:textId="77777777" w:rsidR="00161F40" w:rsidRPr="0071715E" w:rsidRDefault="00C22BE9" w:rsidP="00C22BE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71715E">
              <w:rPr>
                <w:rFonts w:eastAsiaTheme="minorEastAsia" w:cstheme="majorHAnsi"/>
                <w:color w:val="auto"/>
                <w:sz w:val="18"/>
                <w:szCs w:val="18"/>
              </w:rPr>
              <w:t>WB</w:t>
            </w:r>
            <w:r w:rsidR="00161F40" w:rsidRPr="0071715E">
              <w:rPr>
                <w:rFonts w:eastAsiaTheme="minorEastAsia" w:cstheme="majorHAnsi"/>
                <w:color w:val="auto"/>
                <w:sz w:val="18"/>
                <w:szCs w:val="18"/>
              </w:rPr>
              <w:t xml:space="preserve"> is finalizing PPP Law and Guidelines</w:t>
            </w:r>
          </w:p>
          <w:p w14:paraId="5691222D" w14:textId="38866B69" w:rsidR="00D67E74" w:rsidRPr="0071715E" w:rsidRDefault="00161F40" w:rsidP="00161F4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71715E">
              <w:rPr>
                <w:rFonts w:eastAsiaTheme="minorEastAsia" w:cstheme="majorHAnsi"/>
                <w:color w:val="auto"/>
                <w:sz w:val="18"/>
                <w:szCs w:val="18"/>
              </w:rPr>
              <w:t xml:space="preserve">IFC has a tool to develop bankable projects When Mandated by </w:t>
            </w:r>
            <w:proofErr w:type="spellStart"/>
            <w:r w:rsidRPr="0071715E">
              <w:rPr>
                <w:rFonts w:eastAsiaTheme="minorEastAsia" w:cstheme="majorHAnsi"/>
                <w:color w:val="auto"/>
                <w:sz w:val="18"/>
                <w:szCs w:val="18"/>
              </w:rPr>
              <w:t>GoR</w:t>
            </w:r>
            <w:proofErr w:type="spellEnd"/>
            <w:r w:rsidRPr="0071715E">
              <w:rPr>
                <w:rFonts w:eastAsiaTheme="minorEastAsia" w:cstheme="majorHAnsi"/>
                <w:color w:val="auto"/>
                <w:sz w:val="18"/>
                <w:szCs w:val="18"/>
              </w:rPr>
              <w:t xml:space="preserve">, IFC through its C3P/PPP unit not only fund feasibility studies as needed but also  works with the Government  to crowd in Private Sector  on competitive basis; </w:t>
            </w:r>
          </w:p>
        </w:tc>
      </w:tr>
      <w:tr w:rsidR="00C7720E" w14:paraId="0AEB1C12" w14:textId="77777777" w:rsidTr="001A702E">
        <w:trPr>
          <w:trHeight w:val="376"/>
        </w:trPr>
        <w:tc>
          <w:tcPr>
            <w:cnfStyle w:val="001000000000" w:firstRow="0" w:lastRow="0" w:firstColumn="1" w:lastColumn="0" w:oddVBand="0" w:evenVBand="0" w:oddHBand="0" w:evenHBand="0" w:firstRowFirstColumn="0" w:firstRowLastColumn="0" w:lastRowFirstColumn="0" w:lastRowLastColumn="0"/>
            <w:tcW w:w="14350" w:type="dxa"/>
            <w:gridSpan w:val="4"/>
            <w:tcBorders>
              <w:top w:val="single" w:sz="4" w:space="0" w:color="auto"/>
              <w:left w:val="single" w:sz="4" w:space="0" w:color="auto"/>
              <w:bottom w:val="single" w:sz="4" w:space="0" w:color="auto"/>
              <w:right w:val="single" w:sz="4" w:space="0" w:color="auto"/>
            </w:tcBorders>
            <w:noWrap/>
            <w:hideMark/>
          </w:tcPr>
          <w:p w14:paraId="0F249EC1" w14:textId="065FB815" w:rsidR="00C7720E" w:rsidRPr="0071715E" w:rsidRDefault="00C7720E">
            <w:pPr>
              <w:rPr>
                <w:rFonts w:eastAsiaTheme="minorEastAsia" w:cstheme="majorHAnsi"/>
                <w:b/>
                <w:color w:val="auto"/>
                <w:sz w:val="18"/>
                <w:szCs w:val="18"/>
              </w:rPr>
            </w:pPr>
            <w:r w:rsidRPr="0071715E">
              <w:rPr>
                <w:rFonts w:eastAsiaTheme="minorEastAsia" w:cstheme="majorHAnsi"/>
                <w:b/>
                <w:color w:val="auto"/>
                <w:sz w:val="18"/>
                <w:szCs w:val="18"/>
              </w:rPr>
              <w:t>Financing  framework</w:t>
            </w:r>
          </w:p>
        </w:tc>
      </w:tr>
      <w:tr w:rsidR="000F2E7F" w14:paraId="22DA4B55" w14:textId="77777777" w:rsidTr="001A702E">
        <w:trPr>
          <w:trHeight w:val="2009"/>
        </w:trPr>
        <w:tc>
          <w:tcPr>
            <w:cnfStyle w:val="001000000000" w:firstRow="0" w:lastRow="0" w:firstColumn="1" w:lastColumn="0" w:oddVBand="0" w:evenVBand="0" w:oddHBand="0" w:evenHBand="0" w:firstRowFirstColumn="0" w:firstRowLastColumn="0" w:lastRowFirstColumn="0" w:lastRowLastColumn="0"/>
            <w:tcW w:w="5830" w:type="dxa"/>
            <w:tcBorders>
              <w:top w:val="single" w:sz="4" w:space="0" w:color="auto"/>
              <w:left w:val="single" w:sz="4" w:space="0" w:color="auto"/>
              <w:bottom w:val="single" w:sz="4" w:space="0" w:color="auto"/>
              <w:right w:val="single" w:sz="4" w:space="0" w:color="auto"/>
            </w:tcBorders>
            <w:noWrap/>
          </w:tcPr>
          <w:p w14:paraId="78A09CBA" w14:textId="01FB2021" w:rsidR="001A03C3" w:rsidRDefault="00C22BE9" w:rsidP="001A03C3">
            <w:pPr>
              <w:rPr>
                <w:rFonts w:ascii="Calibri" w:eastAsia="PMingLiU" w:hAnsi="Calibri" w:cs="Calibri Light"/>
                <w:color w:val="auto"/>
                <w:sz w:val="18"/>
                <w:szCs w:val="18"/>
              </w:rPr>
            </w:pPr>
            <w:r>
              <w:rPr>
                <w:rFonts w:ascii="Calibri" w:eastAsia="PMingLiU" w:hAnsi="Calibri" w:cs="Calibri Light"/>
                <w:color w:val="auto"/>
                <w:sz w:val="18"/>
                <w:szCs w:val="18"/>
              </w:rPr>
              <w:t>De</w:t>
            </w:r>
            <w:r w:rsidR="00DA547E">
              <w:rPr>
                <w:rFonts w:ascii="Calibri" w:eastAsia="PMingLiU" w:hAnsi="Calibri" w:cs="Calibri Light"/>
                <w:color w:val="auto"/>
                <w:sz w:val="18"/>
                <w:szCs w:val="18"/>
              </w:rPr>
              <w:t>-</w:t>
            </w:r>
            <w:r>
              <w:rPr>
                <w:rFonts w:ascii="Calibri" w:eastAsia="PMingLiU" w:hAnsi="Calibri" w:cs="Calibri Light"/>
                <w:color w:val="auto"/>
                <w:sz w:val="18"/>
                <w:szCs w:val="18"/>
              </w:rPr>
              <w:t>risking investment in specific sectors (housing, exports and agriculture)</w:t>
            </w:r>
          </w:p>
          <w:p w14:paraId="44A982A2" w14:textId="77777777" w:rsidR="0018240C" w:rsidRDefault="0018240C" w:rsidP="001A03C3">
            <w:pPr>
              <w:rPr>
                <w:rFonts w:ascii="Calibri" w:eastAsia="PMingLiU" w:hAnsi="Calibri" w:cs="Calibri Light"/>
                <w:color w:val="auto"/>
                <w:sz w:val="18"/>
                <w:szCs w:val="18"/>
              </w:rPr>
            </w:pPr>
          </w:p>
          <w:p w14:paraId="36054C75" w14:textId="77777777" w:rsidR="0018240C" w:rsidRDefault="0018240C" w:rsidP="001A03C3">
            <w:pPr>
              <w:rPr>
                <w:rFonts w:ascii="Calibri" w:eastAsia="PMingLiU" w:hAnsi="Calibri" w:cs="Calibri Light"/>
                <w:color w:val="auto"/>
                <w:sz w:val="18"/>
                <w:szCs w:val="18"/>
              </w:rPr>
            </w:pPr>
          </w:p>
          <w:p w14:paraId="0452E28C" w14:textId="77777777" w:rsidR="0018240C" w:rsidRDefault="0018240C" w:rsidP="001A03C3">
            <w:pPr>
              <w:rPr>
                <w:rFonts w:ascii="Calibri" w:eastAsia="PMingLiU" w:hAnsi="Calibri" w:cs="Calibri Light"/>
                <w:color w:val="auto"/>
                <w:sz w:val="18"/>
                <w:szCs w:val="18"/>
              </w:rPr>
            </w:pPr>
          </w:p>
          <w:p w14:paraId="7AC9D79E" w14:textId="77777777" w:rsidR="0018240C" w:rsidRDefault="0018240C" w:rsidP="001A03C3">
            <w:pPr>
              <w:rPr>
                <w:rFonts w:ascii="Calibri" w:eastAsia="PMingLiU" w:hAnsi="Calibri" w:cs="Calibri Light"/>
                <w:color w:val="auto"/>
                <w:sz w:val="18"/>
                <w:szCs w:val="18"/>
              </w:rPr>
            </w:pPr>
          </w:p>
          <w:p w14:paraId="2C61C288" w14:textId="77777777" w:rsidR="0018240C" w:rsidRDefault="0018240C" w:rsidP="001A03C3">
            <w:pPr>
              <w:rPr>
                <w:rFonts w:ascii="Calibri" w:eastAsia="PMingLiU" w:hAnsi="Calibri" w:cs="Calibri Light"/>
                <w:color w:val="auto"/>
                <w:sz w:val="18"/>
                <w:szCs w:val="18"/>
              </w:rPr>
            </w:pPr>
          </w:p>
          <w:p w14:paraId="3D70B83E" w14:textId="77777777" w:rsidR="0018240C" w:rsidRDefault="0018240C" w:rsidP="001A03C3">
            <w:pPr>
              <w:rPr>
                <w:rFonts w:ascii="Calibri" w:eastAsia="PMingLiU" w:hAnsi="Calibri" w:cs="Calibri Light"/>
                <w:color w:val="auto"/>
                <w:sz w:val="18"/>
                <w:szCs w:val="18"/>
              </w:rPr>
            </w:pPr>
          </w:p>
          <w:p w14:paraId="11AD0314" w14:textId="77777777" w:rsidR="00C7720E" w:rsidRDefault="00C7720E">
            <w:pPr>
              <w:rPr>
                <w:rFonts w:eastAsiaTheme="minorEastAsia" w:cstheme="majorHAnsi"/>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724EE80B" w14:textId="07780FBE" w:rsidR="00C22BE9" w:rsidRDefault="00C22BE9" w:rsidP="00C22BE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PMingLiU" w:hAnsi="Calibri" w:cs="Calibri Light"/>
                <w:sz w:val="18"/>
                <w:szCs w:val="18"/>
              </w:rPr>
            </w:pPr>
            <w:r>
              <w:rPr>
                <w:rFonts w:ascii="Calibri" w:eastAsia="PMingLiU" w:hAnsi="Calibri" w:cs="Calibri Light"/>
                <w:sz w:val="18"/>
                <w:szCs w:val="18"/>
              </w:rPr>
              <w:t xml:space="preserve">Establish </w:t>
            </w:r>
            <w:r w:rsidR="0071715E">
              <w:rPr>
                <w:rFonts w:ascii="Calibri" w:eastAsia="PMingLiU" w:hAnsi="Calibri" w:cs="Calibri Light"/>
                <w:sz w:val="18"/>
                <w:szCs w:val="18"/>
              </w:rPr>
              <w:t>A</w:t>
            </w:r>
            <w:r>
              <w:rPr>
                <w:rFonts w:ascii="Calibri" w:eastAsia="PMingLiU" w:hAnsi="Calibri" w:cs="Calibri Light"/>
                <w:sz w:val="18"/>
                <w:szCs w:val="18"/>
              </w:rPr>
              <w:t xml:space="preserve">ffordable </w:t>
            </w:r>
            <w:r w:rsidR="0071715E">
              <w:rPr>
                <w:rFonts w:ascii="Calibri" w:eastAsia="PMingLiU" w:hAnsi="Calibri" w:cs="Calibri Light"/>
                <w:sz w:val="18"/>
                <w:szCs w:val="18"/>
              </w:rPr>
              <w:t>H</w:t>
            </w:r>
            <w:r>
              <w:rPr>
                <w:rFonts w:ascii="Calibri" w:eastAsia="PMingLiU" w:hAnsi="Calibri" w:cs="Calibri Light"/>
                <w:sz w:val="18"/>
                <w:szCs w:val="18"/>
              </w:rPr>
              <w:t xml:space="preserve">ousing </w:t>
            </w:r>
            <w:r w:rsidR="0071715E">
              <w:rPr>
                <w:rFonts w:ascii="Calibri" w:eastAsia="PMingLiU" w:hAnsi="Calibri" w:cs="Calibri Light"/>
                <w:sz w:val="18"/>
                <w:szCs w:val="18"/>
              </w:rPr>
              <w:t>F</w:t>
            </w:r>
            <w:r>
              <w:rPr>
                <w:rFonts w:ascii="Calibri" w:eastAsia="PMingLiU" w:hAnsi="Calibri" w:cs="Calibri Light"/>
                <w:sz w:val="18"/>
                <w:szCs w:val="18"/>
              </w:rPr>
              <w:t>und</w:t>
            </w:r>
          </w:p>
          <w:p w14:paraId="6380EA66" w14:textId="47979BCD" w:rsidR="00C22BE9" w:rsidRDefault="00C22BE9" w:rsidP="00C22BE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PMingLiU" w:hAnsi="Calibri" w:cs="Calibri Light"/>
                <w:sz w:val="18"/>
                <w:szCs w:val="18"/>
              </w:rPr>
            </w:pPr>
            <w:r>
              <w:rPr>
                <w:rFonts w:ascii="Calibri" w:eastAsia="PMingLiU" w:hAnsi="Calibri" w:cs="Calibri Light"/>
                <w:sz w:val="18"/>
                <w:szCs w:val="18"/>
              </w:rPr>
              <w:t xml:space="preserve">Operationalization and scale up of the Export </w:t>
            </w:r>
            <w:r w:rsidR="0071715E">
              <w:rPr>
                <w:rFonts w:ascii="Calibri" w:eastAsia="PMingLiU" w:hAnsi="Calibri" w:cs="Calibri Light"/>
                <w:sz w:val="18"/>
                <w:szCs w:val="18"/>
              </w:rPr>
              <w:t>G</w:t>
            </w:r>
            <w:r>
              <w:rPr>
                <w:rFonts w:ascii="Calibri" w:eastAsia="PMingLiU" w:hAnsi="Calibri" w:cs="Calibri Light"/>
                <w:sz w:val="18"/>
                <w:szCs w:val="18"/>
              </w:rPr>
              <w:t xml:space="preserve">rowth </w:t>
            </w:r>
            <w:r w:rsidR="0071715E">
              <w:rPr>
                <w:rFonts w:ascii="Calibri" w:eastAsia="PMingLiU" w:hAnsi="Calibri" w:cs="Calibri Light"/>
                <w:sz w:val="18"/>
                <w:szCs w:val="18"/>
              </w:rPr>
              <w:t>F</w:t>
            </w:r>
            <w:r>
              <w:rPr>
                <w:rFonts w:ascii="Calibri" w:eastAsia="PMingLiU" w:hAnsi="Calibri" w:cs="Calibri Light"/>
                <w:sz w:val="18"/>
                <w:szCs w:val="18"/>
              </w:rPr>
              <w:t xml:space="preserve">acility </w:t>
            </w:r>
          </w:p>
          <w:p w14:paraId="15FC40A6" w14:textId="14C8BBDB" w:rsidR="00C22BE9" w:rsidRPr="00C22BE9" w:rsidRDefault="00C22BE9" w:rsidP="00C22BE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PMingLiU" w:hAnsi="Calibri" w:cs="Calibri Light"/>
                <w:sz w:val="18"/>
                <w:szCs w:val="18"/>
              </w:rPr>
            </w:pPr>
            <w:r>
              <w:rPr>
                <w:rFonts w:ascii="Calibri" w:eastAsia="PMingLiU" w:hAnsi="Calibri" w:cs="Calibri Light"/>
                <w:sz w:val="18"/>
                <w:szCs w:val="18"/>
              </w:rPr>
              <w:t>Establish agriculture risk sharing facility</w:t>
            </w:r>
            <w:r w:rsidR="00061FA8">
              <w:rPr>
                <w:rFonts w:ascii="Calibri" w:eastAsia="PMingLiU" w:hAnsi="Calibri" w:cs="Calibri Light"/>
                <w:sz w:val="18"/>
                <w:szCs w:val="18"/>
              </w:rPr>
              <w:t xml:space="preserve"> (ARSF)</w:t>
            </w:r>
          </w:p>
          <w:p w14:paraId="5828EC19" w14:textId="77777777" w:rsidR="00C22BE9" w:rsidRDefault="00C22BE9" w:rsidP="001A03C3">
            <w:pPr>
              <w:cnfStyle w:val="000000000000" w:firstRow="0" w:lastRow="0" w:firstColumn="0" w:lastColumn="0" w:oddVBand="0" w:evenVBand="0" w:oddHBand="0" w:evenHBand="0" w:firstRowFirstColumn="0" w:firstRowLastColumn="0" w:lastRowFirstColumn="0" w:lastRowLastColumn="0"/>
              <w:rPr>
                <w:rFonts w:ascii="Calibri" w:eastAsia="PMingLiU" w:hAnsi="Calibri" w:cs="Calibri Light"/>
                <w:sz w:val="18"/>
                <w:szCs w:val="18"/>
              </w:rPr>
            </w:pPr>
          </w:p>
          <w:p w14:paraId="34F66FE5" w14:textId="77777777" w:rsidR="00C22BE9" w:rsidRDefault="00C22BE9" w:rsidP="001A03C3">
            <w:pPr>
              <w:cnfStyle w:val="000000000000" w:firstRow="0" w:lastRow="0" w:firstColumn="0" w:lastColumn="0" w:oddVBand="0" w:evenVBand="0" w:oddHBand="0" w:evenHBand="0" w:firstRowFirstColumn="0" w:firstRowLastColumn="0" w:lastRowFirstColumn="0" w:lastRowLastColumn="0"/>
              <w:rPr>
                <w:rFonts w:ascii="Calibri" w:eastAsia="PMingLiU" w:hAnsi="Calibri" w:cs="Calibri Light"/>
                <w:sz w:val="18"/>
                <w:szCs w:val="18"/>
              </w:rPr>
            </w:pPr>
          </w:p>
          <w:p w14:paraId="6C14DF4C" w14:textId="77777777" w:rsidR="0018240C" w:rsidRDefault="0018240C" w:rsidP="001A03C3">
            <w:pPr>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Calibri Light"/>
                <w:sz w:val="18"/>
                <w:szCs w:val="18"/>
              </w:rPr>
            </w:pPr>
          </w:p>
          <w:p w14:paraId="230A0808" w14:textId="7110758F" w:rsidR="00EB7A6C" w:rsidRPr="00915DF9" w:rsidRDefault="00EB7A6C" w:rsidP="00C22BE9">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BD75453" w14:textId="21DBB06A" w:rsidR="00F123F1" w:rsidRDefault="00061FA8" w:rsidP="00C22BE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sz w:val="18"/>
              </w:rPr>
            </w:pPr>
            <w:r w:rsidRPr="00061FA8">
              <w:rPr>
                <w:color w:val="auto"/>
                <w:sz w:val="18"/>
              </w:rPr>
              <w:t>$</w:t>
            </w:r>
            <w:proofErr w:type="spellStart"/>
            <w:r w:rsidRPr="00061FA8">
              <w:rPr>
                <w:color w:val="auto"/>
                <w:sz w:val="18"/>
              </w:rPr>
              <w:t>xm</w:t>
            </w:r>
            <w:proofErr w:type="spellEnd"/>
            <w:r w:rsidRPr="00061FA8">
              <w:rPr>
                <w:color w:val="auto"/>
                <w:sz w:val="18"/>
              </w:rPr>
              <w:t xml:space="preserve"> of private investment leveraged by the AHF</w:t>
            </w:r>
          </w:p>
          <w:p w14:paraId="6A9C7D41" w14:textId="1E40DC25" w:rsidR="00061FA8" w:rsidRDefault="00061FA8" w:rsidP="00C22BE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sz w:val="18"/>
              </w:rPr>
            </w:pPr>
            <w:r>
              <w:rPr>
                <w:color w:val="auto"/>
                <w:sz w:val="18"/>
              </w:rPr>
              <w:t xml:space="preserve">Number of exporters accessing the </w:t>
            </w:r>
            <w:r w:rsidR="0071715E">
              <w:rPr>
                <w:color w:val="auto"/>
                <w:sz w:val="18"/>
              </w:rPr>
              <w:t>EGF</w:t>
            </w:r>
          </w:p>
          <w:p w14:paraId="5688CB72" w14:textId="379213AC" w:rsidR="001B718A" w:rsidRPr="00061FA8" w:rsidRDefault="00061FA8" w:rsidP="00643B4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sz w:val="18"/>
              </w:rPr>
            </w:pPr>
            <w:r>
              <w:rPr>
                <w:color w:val="auto"/>
                <w:sz w:val="18"/>
              </w:rPr>
              <w:t>$</w:t>
            </w:r>
            <w:proofErr w:type="spellStart"/>
            <w:r>
              <w:rPr>
                <w:color w:val="auto"/>
                <w:sz w:val="18"/>
              </w:rPr>
              <w:t>xm</w:t>
            </w:r>
            <w:proofErr w:type="spellEnd"/>
            <w:r>
              <w:rPr>
                <w:color w:val="auto"/>
                <w:sz w:val="18"/>
              </w:rPr>
              <w:t xml:space="preserve"> of private investment leveraged into the agriculture sector</w:t>
            </w:r>
          </w:p>
        </w:tc>
        <w:tc>
          <w:tcPr>
            <w:tcW w:w="0" w:type="auto"/>
            <w:tcBorders>
              <w:top w:val="single" w:sz="4" w:space="0" w:color="auto"/>
              <w:left w:val="single" w:sz="4" w:space="0" w:color="auto"/>
              <w:bottom w:val="single" w:sz="4" w:space="0" w:color="auto"/>
              <w:right w:val="single" w:sz="4" w:space="0" w:color="auto"/>
            </w:tcBorders>
          </w:tcPr>
          <w:p w14:paraId="18F3D0C4" w14:textId="45AD566B" w:rsidR="005A34D5" w:rsidRPr="000F2E7F" w:rsidRDefault="00061FA8" w:rsidP="000F2E7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等线" w:hAnsi="Calibri" w:cs="Calibri Light"/>
                <w:sz w:val="18"/>
                <w:szCs w:val="18"/>
              </w:rPr>
            </w:pPr>
            <w:r w:rsidRPr="0071715E">
              <w:rPr>
                <w:rFonts w:ascii="Calibri" w:eastAsia="等线" w:hAnsi="Calibri" w:cs="Calibri Light"/>
                <w:color w:val="auto"/>
                <w:sz w:val="18"/>
                <w:szCs w:val="18"/>
              </w:rPr>
              <w:t>WBG has committed $150m to the AHF</w:t>
            </w:r>
            <w:r w:rsidR="000F2E7F">
              <w:rPr>
                <w:rFonts w:ascii="Calibri" w:eastAsia="等线" w:hAnsi="Calibri" w:cs="Calibri Light"/>
                <w:sz w:val="18"/>
                <w:szCs w:val="18"/>
              </w:rPr>
              <w:t xml:space="preserve">. </w:t>
            </w:r>
            <w:r w:rsidR="005A34D5" w:rsidRPr="000F2E7F">
              <w:rPr>
                <w:rFonts w:ascii="Calibri" w:eastAsia="等线" w:hAnsi="Calibri" w:cs="Calibri Light"/>
                <w:sz w:val="18"/>
                <w:szCs w:val="18"/>
              </w:rPr>
              <w:t>IFC ready to develop PPP housing bankable projects for 6 Secondary Cities</w:t>
            </w:r>
          </w:p>
          <w:p w14:paraId="4F8D7529" w14:textId="394A34A9" w:rsidR="00061FA8" w:rsidRDefault="00061FA8" w:rsidP="00C22BE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等线" w:hAnsi="Calibri" w:cs="Calibri Light"/>
                <w:color w:val="auto"/>
                <w:sz w:val="18"/>
                <w:szCs w:val="18"/>
              </w:rPr>
            </w:pPr>
            <w:r w:rsidRPr="0071715E">
              <w:rPr>
                <w:rFonts w:ascii="Calibri" w:eastAsia="等线" w:hAnsi="Calibri" w:cs="Calibri Light"/>
                <w:color w:val="auto"/>
                <w:sz w:val="18"/>
                <w:szCs w:val="18"/>
              </w:rPr>
              <w:t xml:space="preserve">KFW </w:t>
            </w:r>
            <w:r w:rsidR="0071715E" w:rsidRPr="0071715E">
              <w:rPr>
                <w:rFonts w:ascii="Calibri" w:eastAsia="等线" w:hAnsi="Calibri" w:cs="Calibri Light"/>
                <w:color w:val="auto"/>
                <w:sz w:val="18"/>
                <w:szCs w:val="18"/>
              </w:rPr>
              <w:t>are supporting EGF</w:t>
            </w:r>
            <w:r w:rsidRPr="0071715E">
              <w:rPr>
                <w:rFonts w:ascii="Calibri" w:eastAsia="等线" w:hAnsi="Calibri" w:cs="Calibri Light"/>
                <w:color w:val="auto"/>
                <w:sz w:val="18"/>
                <w:szCs w:val="18"/>
              </w:rPr>
              <w:t xml:space="preserve">&amp; DFID </w:t>
            </w:r>
            <w:r w:rsidR="0071715E" w:rsidRPr="0071715E">
              <w:rPr>
                <w:rFonts w:ascii="Calibri" w:eastAsia="等线" w:hAnsi="Calibri" w:cs="Calibri Light"/>
                <w:color w:val="auto"/>
                <w:sz w:val="18"/>
                <w:szCs w:val="18"/>
              </w:rPr>
              <w:t xml:space="preserve">have plans to support. </w:t>
            </w:r>
          </w:p>
          <w:p w14:paraId="48B3E443" w14:textId="1594FDDF" w:rsidR="00061FA8" w:rsidRPr="000F2E7F" w:rsidRDefault="001A702E" w:rsidP="000F2E7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等线" w:hAnsi="Calibri" w:cs="Calibri Light"/>
                <w:color w:val="auto"/>
                <w:sz w:val="18"/>
                <w:szCs w:val="18"/>
              </w:rPr>
            </w:pPr>
            <w:bookmarkStart w:id="0" w:name="_GoBack"/>
            <w:r>
              <w:rPr>
                <w:rFonts w:ascii="Calibri" w:eastAsia="等线" w:hAnsi="Calibri" w:cs="Calibri Light"/>
                <w:color w:val="auto"/>
                <w:sz w:val="18"/>
                <w:szCs w:val="18"/>
              </w:rPr>
              <w:t xml:space="preserve">Netherlands is developing </w:t>
            </w:r>
            <w:r w:rsidRPr="001A702E">
              <w:rPr>
                <w:rFonts w:ascii="Calibri" w:eastAsia="Calibri" w:hAnsi="Calibri" w:cs="Arial"/>
                <w:color w:val="auto"/>
              </w:rPr>
              <w:t xml:space="preserve">a new </w:t>
            </w:r>
            <w:proofErr w:type="spellStart"/>
            <w:r w:rsidRPr="001A702E">
              <w:rPr>
                <w:rFonts w:ascii="Calibri" w:eastAsia="等线" w:hAnsi="Calibri" w:cs="Calibri Light"/>
                <w:color w:val="auto"/>
                <w:sz w:val="18"/>
                <w:szCs w:val="18"/>
              </w:rPr>
              <w:t>programme</w:t>
            </w:r>
            <w:proofErr w:type="spellEnd"/>
            <w:r w:rsidRPr="001A702E">
              <w:rPr>
                <w:rFonts w:ascii="Calibri" w:eastAsia="等线" w:hAnsi="Calibri" w:cs="Calibri Light"/>
                <w:color w:val="auto"/>
                <w:sz w:val="18"/>
                <w:szCs w:val="18"/>
              </w:rPr>
              <w:t xml:space="preserve"> in </w:t>
            </w:r>
            <w:r w:rsidR="000F2E7F" w:rsidRPr="001A702E">
              <w:rPr>
                <w:rFonts w:ascii="Calibri" w:eastAsia="等线" w:hAnsi="Calibri" w:cs="Calibri Light"/>
                <w:color w:val="auto"/>
                <w:sz w:val="18"/>
                <w:szCs w:val="18"/>
              </w:rPr>
              <w:t>horticulture value</w:t>
            </w:r>
            <w:r w:rsidRPr="001A702E">
              <w:rPr>
                <w:rFonts w:ascii="Calibri" w:eastAsia="等线" w:hAnsi="Calibri" w:cs="Calibri Light"/>
                <w:color w:val="auto"/>
                <w:sz w:val="18"/>
                <w:szCs w:val="18"/>
              </w:rPr>
              <w:t>-cha</w:t>
            </w:r>
            <w:r w:rsidR="000F2E7F">
              <w:rPr>
                <w:rFonts w:ascii="Calibri" w:eastAsia="等线" w:hAnsi="Calibri" w:cs="Calibri Light"/>
                <w:color w:val="auto"/>
                <w:sz w:val="18"/>
                <w:szCs w:val="18"/>
              </w:rPr>
              <w:t xml:space="preserve">in development which includes </w:t>
            </w:r>
            <w:r w:rsidRPr="001A702E">
              <w:rPr>
                <w:rFonts w:ascii="Calibri" w:eastAsia="等线" w:hAnsi="Calibri" w:cs="Calibri Light"/>
                <w:color w:val="auto"/>
                <w:sz w:val="18"/>
                <w:szCs w:val="18"/>
              </w:rPr>
              <w:t>5m euros to support private sector investments in horticulture</w:t>
            </w:r>
            <w:r w:rsidR="000F2E7F">
              <w:rPr>
                <w:rFonts w:ascii="Calibri" w:eastAsia="等线" w:hAnsi="Calibri" w:cs="Calibri Light"/>
                <w:color w:val="auto"/>
                <w:sz w:val="18"/>
                <w:szCs w:val="18"/>
              </w:rPr>
              <w:t xml:space="preserve">. </w:t>
            </w:r>
            <w:r w:rsidR="00061FA8" w:rsidRPr="000F2E7F">
              <w:rPr>
                <w:rFonts w:ascii="Calibri" w:eastAsia="等线" w:hAnsi="Calibri" w:cs="Calibri Light"/>
                <w:sz w:val="18"/>
                <w:szCs w:val="18"/>
              </w:rPr>
              <w:t>WBG, Netherlands, USAID, AFDB</w:t>
            </w:r>
            <w:r w:rsidR="000F2E7F">
              <w:rPr>
                <w:rFonts w:ascii="Calibri" w:eastAsia="等线" w:hAnsi="Calibri" w:cs="Calibri Light"/>
                <w:sz w:val="18"/>
                <w:szCs w:val="18"/>
              </w:rPr>
              <w:t xml:space="preserve"> to support in design and establishing of an ARSF</w:t>
            </w:r>
            <w:bookmarkEnd w:id="0"/>
          </w:p>
          <w:p w14:paraId="6AB70ECC" w14:textId="77777777" w:rsidR="001B718A" w:rsidRPr="0071715E" w:rsidRDefault="001B718A" w:rsidP="00FB456C">
            <w:pPr>
              <w:cnfStyle w:val="000000000000" w:firstRow="0" w:lastRow="0" w:firstColumn="0" w:lastColumn="0" w:oddVBand="0" w:evenVBand="0" w:oddHBand="0" w:evenHBand="0" w:firstRowFirstColumn="0" w:firstRowLastColumn="0" w:lastRowFirstColumn="0" w:lastRowLastColumn="0"/>
              <w:rPr>
                <w:rFonts w:ascii="Calibri" w:eastAsia="等线" w:hAnsi="Calibri" w:cs="Calibri Light"/>
                <w:color w:val="auto"/>
                <w:sz w:val="18"/>
                <w:szCs w:val="18"/>
              </w:rPr>
            </w:pPr>
          </w:p>
          <w:p w14:paraId="0BBF9549" w14:textId="77777777" w:rsidR="001B718A" w:rsidRPr="0071715E" w:rsidRDefault="001B718A" w:rsidP="00FB456C">
            <w:pPr>
              <w:cnfStyle w:val="000000000000" w:firstRow="0" w:lastRow="0" w:firstColumn="0" w:lastColumn="0" w:oddVBand="0" w:evenVBand="0" w:oddHBand="0" w:evenHBand="0" w:firstRowFirstColumn="0" w:firstRowLastColumn="0" w:lastRowFirstColumn="0" w:lastRowLastColumn="0"/>
              <w:rPr>
                <w:rFonts w:ascii="Calibri" w:eastAsia="等线" w:hAnsi="Calibri" w:cs="Calibri Light"/>
                <w:color w:val="auto"/>
                <w:sz w:val="18"/>
                <w:szCs w:val="18"/>
              </w:rPr>
            </w:pPr>
          </w:p>
          <w:p w14:paraId="4FCEB795" w14:textId="77777777" w:rsidR="001B718A" w:rsidRPr="0071715E" w:rsidRDefault="001B718A" w:rsidP="00FB456C">
            <w:pPr>
              <w:cnfStyle w:val="000000000000" w:firstRow="0" w:lastRow="0" w:firstColumn="0" w:lastColumn="0" w:oddVBand="0" w:evenVBand="0" w:oddHBand="0" w:evenHBand="0" w:firstRowFirstColumn="0" w:firstRowLastColumn="0" w:lastRowFirstColumn="0" w:lastRowLastColumn="0"/>
              <w:rPr>
                <w:rFonts w:ascii="Calibri" w:eastAsia="等线" w:hAnsi="Calibri" w:cs="Calibri Light"/>
                <w:color w:val="auto"/>
                <w:sz w:val="18"/>
                <w:szCs w:val="18"/>
              </w:rPr>
            </w:pPr>
          </w:p>
          <w:p w14:paraId="4865B375" w14:textId="77777777" w:rsidR="001B718A" w:rsidRPr="0071715E" w:rsidRDefault="001B718A" w:rsidP="00FB456C">
            <w:pPr>
              <w:cnfStyle w:val="000000000000" w:firstRow="0" w:lastRow="0" w:firstColumn="0" w:lastColumn="0" w:oddVBand="0" w:evenVBand="0" w:oddHBand="0" w:evenHBand="0" w:firstRowFirstColumn="0" w:firstRowLastColumn="0" w:lastRowFirstColumn="0" w:lastRowLastColumn="0"/>
              <w:rPr>
                <w:rFonts w:ascii="Calibri" w:eastAsia="等线" w:hAnsi="Calibri" w:cs="Calibri Light"/>
                <w:color w:val="auto"/>
                <w:sz w:val="18"/>
                <w:szCs w:val="18"/>
              </w:rPr>
            </w:pPr>
          </w:p>
          <w:p w14:paraId="78BD2F75" w14:textId="0797F5E6" w:rsidR="000B67C1" w:rsidRPr="0071715E" w:rsidRDefault="000B67C1" w:rsidP="00C22BE9">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p>
        </w:tc>
      </w:tr>
      <w:tr w:rsidR="000F2E7F" w14:paraId="42DE74DE" w14:textId="77777777" w:rsidTr="001A702E">
        <w:trPr>
          <w:trHeight w:val="2009"/>
        </w:trPr>
        <w:tc>
          <w:tcPr>
            <w:cnfStyle w:val="001000000000" w:firstRow="0" w:lastRow="0" w:firstColumn="1" w:lastColumn="0" w:oddVBand="0" w:evenVBand="0" w:oddHBand="0" w:evenHBand="0" w:firstRowFirstColumn="0" w:firstRowLastColumn="0" w:lastRowFirstColumn="0" w:lastRowLastColumn="0"/>
            <w:tcW w:w="5830" w:type="dxa"/>
            <w:tcBorders>
              <w:top w:val="single" w:sz="4" w:space="0" w:color="auto"/>
              <w:left w:val="single" w:sz="4" w:space="0" w:color="auto"/>
              <w:bottom w:val="single" w:sz="4" w:space="0" w:color="auto"/>
              <w:right w:val="single" w:sz="4" w:space="0" w:color="auto"/>
            </w:tcBorders>
            <w:noWrap/>
          </w:tcPr>
          <w:p w14:paraId="60775CC0" w14:textId="7041D05B" w:rsidR="00061FA8" w:rsidRDefault="00061FA8" w:rsidP="001A03C3">
            <w:pPr>
              <w:rPr>
                <w:rFonts w:ascii="Calibri" w:eastAsia="PMingLiU" w:hAnsi="Calibri" w:cs="Calibri Light"/>
                <w:sz w:val="18"/>
                <w:szCs w:val="18"/>
              </w:rPr>
            </w:pPr>
            <w:r>
              <w:rPr>
                <w:rFonts w:ascii="Calibri" w:eastAsia="PMingLiU" w:hAnsi="Calibri" w:cs="Calibri Light"/>
                <w:sz w:val="18"/>
                <w:szCs w:val="18"/>
              </w:rPr>
              <w:lastRenderedPageBreak/>
              <w:t xml:space="preserve">Supporting capital market development in Rwanda </w:t>
            </w:r>
          </w:p>
        </w:tc>
        <w:tc>
          <w:tcPr>
            <w:tcW w:w="0" w:type="auto"/>
            <w:tcBorders>
              <w:top w:val="single" w:sz="4" w:space="0" w:color="auto"/>
              <w:left w:val="single" w:sz="4" w:space="0" w:color="auto"/>
              <w:bottom w:val="single" w:sz="4" w:space="0" w:color="auto"/>
              <w:right w:val="single" w:sz="4" w:space="0" w:color="auto"/>
            </w:tcBorders>
          </w:tcPr>
          <w:p w14:paraId="172121B3" w14:textId="77777777" w:rsidR="00061FA8" w:rsidRPr="0071715E" w:rsidRDefault="00061FA8" w:rsidP="00061FA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PMingLiU" w:hAnsi="Calibri" w:cs="Calibri Light"/>
                <w:sz w:val="18"/>
                <w:szCs w:val="18"/>
              </w:rPr>
            </w:pPr>
            <w:r w:rsidRPr="0071715E">
              <w:rPr>
                <w:rFonts w:ascii="Calibri" w:eastAsia="PMingLiU" w:hAnsi="Calibri" w:cs="Calibri Light"/>
                <w:sz w:val="18"/>
                <w:szCs w:val="18"/>
              </w:rPr>
              <w:t xml:space="preserve">Build capacity of companies </w:t>
            </w:r>
            <w:r w:rsidR="00234399" w:rsidRPr="0071715E">
              <w:rPr>
                <w:rFonts w:ascii="Calibri" w:eastAsia="PMingLiU" w:hAnsi="Calibri" w:cs="Calibri Light"/>
                <w:sz w:val="18"/>
                <w:szCs w:val="18"/>
              </w:rPr>
              <w:t xml:space="preserve">to list on the Rwanda stock exchange </w:t>
            </w:r>
          </w:p>
          <w:p w14:paraId="5E2E1434" w14:textId="6ED2FA3A" w:rsidR="00234399" w:rsidRPr="00061FA8" w:rsidRDefault="00234399" w:rsidP="00061FA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PMingLiU" w:hAnsi="Calibri" w:cs="Calibri Light"/>
                <w:sz w:val="18"/>
                <w:szCs w:val="18"/>
              </w:rPr>
            </w:pPr>
            <w:r w:rsidRPr="0071715E">
              <w:rPr>
                <w:rFonts w:ascii="Calibri" w:eastAsia="PMingLiU" w:hAnsi="Calibri" w:cs="Calibri Light"/>
                <w:sz w:val="18"/>
                <w:szCs w:val="18"/>
              </w:rPr>
              <w:t>Build capacity of banks to undergo credit rating by international credit rating</w:t>
            </w:r>
            <w:r>
              <w:rPr>
                <w:rFonts w:ascii="Calibri" w:eastAsia="PMingLiU" w:hAnsi="Calibri" w:cs="Calibri Light"/>
                <w:sz w:val="18"/>
                <w:szCs w:val="18"/>
              </w:rPr>
              <w:t xml:space="preserve"> agencies</w:t>
            </w:r>
          </w:p>
        </w:tc>
        <w:tc>
          <w:tcPr>
            <w:tcW w:w="0" w:type="auto"/>
            <w:tcBorders>
              <w:top w:val="single" w:sz="4" w:space="0" w:color="auto"/>
              <w:left w:val="single" w:sz="4" w:space="0" w:color="auto"/>
              <w:bottom w:val="single" w:sz="4" w:space="0" w:color="auto"/>
              <w:right w:val="single" w:sz="4" w:space="0" w:color="auto"/>
            </w:tcBorders>
          </w:tcPr>
          <w:p w14:paraId="4894E36F" w14:textId="77777777" w:rsidR="00061FA8" w:rsidRDefault="00234399" w:rsidP="0023439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18"/>
              </w:rPr>
            </w:pPr>
            <w:r>
              <w:rPr>
                <w:sz w:val="18"/>
              </w:rPr>
              <w:t>Number of companies listed</w:t>
            </w:r>
          </w:p>
          <w:p w14:paraId="28CA02A8" w14:textId="7D25B9FC" w:rsidR="00234399" w:rsidRPr="00234399" w:rsidRDefault="00234399" w:rsidP="0023439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18"/>
              </w:rPr>
            </w:pPr>
            <w:r>
              <w:rPr>
                <w:sz w:val="18"/>
              </w:rPr>
              <w:t>Number of banks rated</w:t>
            </w:r>
          </w:p>
        </w:tc>
        <w:tc>
          <w:tcPr>
            <w:tcW w:w="0" w:type="auto"/>
            <w:tcBorders>
              <w:top w:val="single" w:sz="4" w:space="0" w:color="auto"/>
              <w:left w:val="single" w:sz="4" w:space="0" w:color="auto"/>
              <w:bottom w:val="single" w:sz="4" w:space="0" w:color="auto"/>
              <w:right w:val="single" w:sz="4" w:space="0" w:color="auto"/>
            </w:tcBorders>
          </w:tcPr>
          <w:p w14:paraId="5D43032F" w14:textId="2F52B64F" w:rsidR="00061FA8" w:rsidRPr="0071715E" w:rsidRDefault="00061FA8" w:rsidP="00E83D0B">
            <w:pPr>
              <w:pStyle w:val="ListParagraph"/>
              <w:ind w:left="360"/>
              <w:cnfStyle w:val="000000000000" w:firstRow="0" w:lastRow="0" w:firstColumn="0" w:lastColumn="0" w:oddVBand="0" w:evenVBand="0" w:oddHBand="0" w:evenHBand="0" w:firstRowFirstColumn="0" w:firstRowLastColumn="0" w:lastRowFirstColumn="0" w:lastRowLastColumn="0"/>
              <w:rPr>
                <w:rFonts w:ascii="Calibri" w:eastAsia="等线" w:hAnsi="Calibri" w:cs="Calibri Light"/>
                <w:sz w:val="18"/>
                <w:szCs w:val="18"/>
              </w:rPr>
            </w:pPr>
          </w:p>
          <w:p w14:paraId="32E5B1C2" w14:textId="77777777" w:rsidR="00E83D0B" w:rsidRPr="00E83D0B" w:rsidRDefault="00E83D0B" w:rsidP="00E83D0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alibri" w:eastAsia="等线" w:hAnsi="Calibri" w:cs="Calibri Light"/>
                <w:color w:val="auto"/>
                <w:sz w:val="18"/>
                <w:szCs w:val="18"/>
              </w:rPr>
            </w:pPr>
            <w:r w:rsidRPr="00E83D0B">
              <w:rPr>
                <w:rFonts w:ascii="Calibri" w:eastAsia="等线" w:hAnsi="Calibri" w:cs="Calibri Light"/>
                <w:color w:val="auto"/>
                <w:sz w:val="18"/>
                <w:szCs w:val="18"/>
              </w:rPr>
              <w:t xml:space="preserve">IFC through ESMID Program (Efficient Securities Markets Institutional Development Program can step in and work with other Development Partners as required. </w:t>
            </w:r>
          </w:p>
          <w:p w14:paraId="68D4B2DB" w14:textId="5DE19C67" w:rsidR="00E366ED" w:rsidRPr="00FF5E17" w:rsidRDefault="00E366ED" w:rsidP="0023439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alibri" w:eastAsia="等线" w:hAnsi="Calibri" w:cs="Calibri Light"/>
                <w:b/>
                <w:sz w:val="18"/>
                <w:szCs w:val="18"/>
              </w:rPr>
            </w:pPr>
            <w:proofErr w:type="spellStart"/>
            <w:r w:rsidRPr="00E83D0B">
              <w:rPr>
                <w:rFonts w:ascii="Calibri" w:eastAsia="等线" w:hAnsi="Calibri" w:cs="Calibri Light"/>
                <w:color w:val="auto"/>
                <w:sz w:val="18"/>
                <w:szCs w:val="18"/>
              </w:rPr>
              <w:t>AfDB</w:t>
            </w:r>
            <w:proofErr w:type="spellEnd"/>
            <w:r w:rsidRPr="00E83D0B">
              <w:rPr>
                <w:rFonts w:ascii="Calibri" w:eastAsia="等线" w:hAnsi="Calibri" w:cs="Calibri Light"/>
                <w:color w:val="auto"/>
                <w:sz w:val="18"/>
                <w:szCs w:val="18"/>
              </w:rPr>
              <w:t xml:space="preserve"> to support through Rwanda </w:t>
            </w:r>
            <w:r w:rsidRPr="0071715E">
              <w:rPr>
                <w:rFonts w:ascii="Calibri" w:eastAsia="等线" w:hAnsi="Calibri" w:cs="Calibri Light"/>
                <w:sz w:val="18"/>
                <w:szCs w:val="18"/>
              </w:rPr>
              <w:t>Innovation Fund-Venture Capital Fund</w:t>
            </w:r>
          </w:p>
        </w:tc>
      </w:tr>
    </w:tbl>
    <w:p w14:paraId="2B88C9F5" w14:textId="6EDE02E1" w:rsidR="00C7720E" w:rsidRDefault="00C7720E" w:rsidP="00C7720E"/>
    <w:sectPr w:rsidR="00C7720E" w:rsidSect="009F246D">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A7C8F" w14:textId="77777777" w:rsidR="00B218EE" w:rsidRDefault="00B218EE" w:rsidP="00E13654">
      <w:pPr>
        <w:spacing w:after="0" w:line="240" w:lineRule="auto"/>
      </w:pPr>
      <w:r>
        <w:separator/>
      </w:r>
    </w:p>
  </w:endnote>
  <w:endnote w:type="continuationSeparator" w:id="0">
    <w:p w14:paraId="2A20BEC3" w14:textId="77777777" w:rsidR="00B218EE" w:rsidRDefault="00B218EE" w:rsidP="00E1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charset w:val="88"/>
    <w:family w:val="auto"/>
    <w:pitch w:val="variable"/>
    <w:sig w:usb0="A00002BF" w:usb1="38CF7CFA" w:usb2="00000016" w:usb3="00000000" w:csb0="0014000F" w:csb1="00000000"/>
  </w:font>
  <w:font w:name="Segoe UI">
    <w:panose1 w:val="020B0502040204020203"/>
    <w:charset w:val="00"/>
    <w:family w:val="swiss"/>
    <w:pitch w:val="variable"/>
    <w:sig w:usb0="E10022FF" w:usb1="C000E47F" w:usb2="00000029" w:usb3="00000000" w:csb0="000001DF" w:csb1="00000000"/>
  </w:font>
  <w:font w:name="等线">
    <w:panose1 w:val="00000000000000000000"/>
    <w:charset w:val="8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B42A6" w14:textId="77777777" w:rsidR="00B218EE" w:rsidRDefault="00B218EE" w:rsidP="00E13654">
      <w:pPr>
        <w:spacing w:after="0" w:line="240" w:lineRule="auto"/>
      </w:pPr>
      <w:r>
        <w:separator/>
      </w:r>
    </w:p>
  </w:footnote>
  <w:footnote w:type="continuationSeparator" w:id="0">
    <w:p w14:paraId="0EBD089E" w14:textId="77777777" w:rsidR="00B218EE" w:rsidRDefault="00B218EE" w:rsidP="00E13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299"/>
    <w:multiLevelType w:val="hybridMultilevel"/>
    <w:tmpl w:val="E3FE0D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2A7F4B"/>
    <w:multiLevelType w:val="hybridMultilevel"/>
    <w:tmpl w:val="20F0F0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28637E"/>
    <w:multiLevelType w:val="hybridMultilevel"/>
    <w:tmpl w:val="9EBE5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7C120C"/>
    <w:multiLevelType w:val="hybridMultilevel"/>
    <w:tmpl w:val="E0967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4A2AB9"/>
    <w:multiLevelType w:val="hybridMultilevel"/>
    <w:tmpl w:val="90580F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3135818"/>
    <w:multiLevelType w:val="hybridMultilevel"/>
    <w:tmpl w:val="419C8D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1D15B3"/>
    <w:multiLevelType w:val="hybridMultilevel"/>
    <w:tmpl w:val="16401B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CC12B58"/>
    <w:multiLevelType w:val="hybridMultilevel"/>
    <w:tmpl w:val="2EDE6B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4DB625A"/>
    <w:multiLevelType w:val="hybridMultilevel"/>
    <w:tmpl w:val="83B096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F392ACF"/>
    <w:multiLevelType w:val="hybridMultilevel"/>
    <w:tmpl w:val="D61804E0"/>
    <w:lvl w:ilvl="0" w:tplc="73A4B8E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DC6819"/>
    <w:multiLevelType w:val="hybridMultilevel"/>
    <w:tmpl w:val="F0CC4DC2"/>
    <w:lvl w:ilvl="0" w:tplc="85129EF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601DCD"/>
    <w:multiLevelType w:val="hybridMultilevel"/>
    <w:tmpl w:val="ED5A3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033018A"/>
    <w:multiLevelType w:val="hybridMultilevel"/>
    <w:tmpl w:val="E36ADD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1C954C7"/>
    <w:multiLevelType w:val="hybridMultilevel"/>
    <w:tmpl w:val="465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73CF4"/>
    <w:multiLevelType w:val="hybridMultilevel"/>
    <w:tmpl w:val="D13EF7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FA74390"/>
    <w:multiLevelType w:val="hybridMultilevel"/>
    <w:tmpl w:val="F7762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3903E1"/>
    <w:multiLevelType w:val="hybridMultilevel"/>
    <w:tmpl w:val="381273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6F100B9"/>
    <w:multiLevelType w:val="hybridMultilevel"/>
    <w:tmpl w:val="FBF24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B432529"/>
    <w:multiLevelType w:val="hybridMultilevel"/>
    <w:tmpl w:val="24CC32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FE8753A"/>
    <w:multiLevelType w:val="hybridMultilevel"/>
    <w:tmpl w:val="D1F2B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2655A42"/>
    <w:multiLevelType w:val="hybridMultilevel"/>
    <w:tmpl w:val="88E64A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8A060F3"/>
    <w:multiLevelType w:val="hybridMultilevel"/>
    <w:tmpl w:val="0ED8E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AFE4502"/>
    <w:multiLevelType w:val="hybridMultilevel"/>
    <w:tmpl w:val="686C7B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CC7DEA"/>
    <w:multiLevelType w:val="hybridMultilevel"/>
    <w:tmpl w:val="8E98E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0"/>
  </w:num>
  <w:num w:numId="3">
    <w:abstractNumId w:val="2"/>
  </w:num>
  <w:num w:numId="4">
    <w:abstractNumId w:val="11"/>
  </w:num>
  <w:num w:numId="5">
    <w:abstractNumId w:val="9"/>
  </w:num>
  <w:num w:numId="6">
    <w:abstractNumId w:val="8"/>
  </w:num>
  <w:num w:numId="7">
    <w:abstractNumId w:val="12"/>
  </w:num>
  <w:num w:numId="8">
    <w:abstractNumId w:val="5"/>
  </w:num>
  <w:num w:numId="9">
    <w:abstractNumId w:val="15"/>
  </w:num>
  <w:num w:numId="10">
    <w:abstractNumId w:val="0"/>
  </w:num>
  <w:num w:numId="11">
    <w:abstractNumId w:val="21"/>
  </w:num>
  <w:num w:numId="12">
    <w:abstractNumId w:val="3"/>
  </w:num>
  <w:num w:numId="13">
    <w:abstractNumId w:val="17"/>
  </w:num>
  <w:num w:numId="14">
    <w:abstractNumId w:val="19"/>
  </w:num>
  <w:num w:numId="15">
    <w:abstractNumId w:val="18"/>
  </w:num>
  <w:num w:numId="16">
    <w:abstractNumId w:val="4"/>
  </w:num>
  <w:num w:numId="17">
    <w:abstractNumId w:val="23"/>
  </w:num>
  <w:num w:numId="18">
    <w:abstractNumId w:val="7"/>
  </w:num>
  <w:num w:numId="19">
    <w:abstractNumId w:val="1"/>
  </w:num>
  <w:num w:numId="20">
    <w:abstractNumId w:val="10"/>
  </w:num>
  <w:num w:numId="21">
    <w:abstractNumId w:val="16"/>
  </w:num>
  <w:num w:numId="22">
    <w:abstractNumId w:val="6"/>
  </w:num>
  <w:num w:numId="23">
    <w:abstractNumId w:val="14"/>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Alun H.">
    <w15:presenceInfo w15:providerId="AD" w15:userId="S-1-5-21-2133556540-1006569411-724182803-7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40"/>
    <w:rsid w:val="000274E2"/>
    <w:rsid w:val="00061FA8"/>
    <w:rsid w:val="00090480"/>
    <w:rsid w:val="000B2909"/>
    <w:rsid w:val="000B5E11"/>
    <w:rsid w:val="000B67C1"/>
    <w:rsid w:val="000C34D7"/>
    <w:rsid w:val="000D7AAE"/>
    <w:rsid w:val="000E2315"/>
    <w:rsid w:val="000F2E7F"/>
    <w:rsid w:val="00110A94"/>
    <w:rsid w:val="001314E1"/>
    <w:rsid w:val="00144CBF"/>
    <w:rsid w:val="00153C4D"/>
    <w:rsid w:val="00161DC4"/>
    <w:rsid w:val="00161F40"/>
    <w:rsid w:val="0016547B"/>
    <w:rsid w:val="0018240C"/>
    <w:rsid w:val="00183039"/>
    <w:rsid w:val="0018534E"/>
    <w:rsid w:val="001A03C3"/>
    <w:rsid w:val="001A5290"/>
    <w:rsid w:val="001A702E"/>
    <w:rsid w:val="001B718A"/>
    <w:rsid w:val="002051A5"/>
    <w:rsid w:val="00207783"/>
    <w:rsid w:val="00234399"/>
    <w:rsid w:val="002471D0"/>
    <w:rsid w:val="002654A9"/>
    <w:rsid w:val="002B6CEF"/>
    <w:rsid w:val="002C6807"/>
    <w:rsid w:val="002E76B2"/>
    <w:rsid w:val="002F4196"/>
    <w:rsid w:val="002F651E"/>
    <w:rsid w:val="00311BB6"/>
    <w:rsid w:val="00341483"/>
    <w:rsid w:val="00360826"/>
    <w:rsid w:val="003A6223"/>
    <w:rsid w:val="003D1738"/>
    <w:rsid w:val="00402F5E"/>
    <w:rsid w:val="00422CE8"/>
    <w:rsid w:val="004260CF"/>
    <w:rsid w:val="004341F8"/>
    <w:rsid w:val="00446B41"/>
    <w:rsid w:val="00492CD6"/>
    <w:rsid w:val="004E0C92"/>
    <w:rsid w:val="00505794"/>
    <w:rsid w:val="00523F79"/>
    <w:rsid w:val="00543C98"/>
    <w:rsid w:val="00551BF4"/>
    <w:rsid w:val="00587197"/>
    <w:rsid w:val="005878E4"/>
    <w:rsid w:val="005A34D5"/>
    <w:rsid w:val="005C3AE5"/>
    <w:rsid w:val="005F29EF"/>
    <w:rsid w:val="00605EBA"/>
    <w:rsid w:val="00643B4E"/>
    <w:rsid w:val="00652640"/>
    <w:rsid w:val="00653CAF"/>
    <w:rsid w:val="006625C7"/>
    <w:rsid w:val="0066564A"/>
    <w:rsid w:val="00673288"/>
    <w:rsid w:val="00686A94"/>
    <w:rsid w:val="006A6924"/>
    <w:rsid w:val="006F0F2D"/>
    <w:rsid w:val="0071715E"/>
    <w:rsid w:val="007504B1"/>
    <w:rsid w:val="00762012"/>
    <w:rsid w:val="007A3FB9"/>
    <w:rsid w:val="007C62BE"/>
    <w:rsid w:val="007C76C2"/>
    <w:rsid w:val="00833895"/>
    <w:rsid w:val="008404B0"/>
    <w:rsid w:val="008A64C8"/>
    <w:rsid w:val="008B78F6"/>
    <w:rsid w:val="008D6664"/>
    <w:rsid w:val="008E6D27"/>
    <w:rsid w:val="00911761"/>
    <w:rsid w:val="00911F97"/>
    <w:rsid w:val="00915DF9"/>
    <w:rsid w:val="00921051"/>
    <w:rsid w:val="00934A5B"/>
    <w:rsid w:val="009410A5"/>
    <w:rsid w:val="00990225"/>
    <w:rsid w:val="00991352"/>
    <w:rsid w:val="009B4272"/>
    <w:rsid w:val="009C5308"/>
    <w:rsid w:val="009D12B8"/>
    <w:rsid w:val="009E4A4C"/>
    <w:rsid w:val="009F246D"/>
    <w:rsid w:val="00A24D7F"/>
    <w:rsid w:val="00A8500D"/>
    <w:rsid w:val="00A934B2"/>
    <w:rsid w:val="00AA0B17"/>
    <w:rsid w:val="00AB473E"/>
    <w:rsid w:val="00AD58B9"/>
    <w:rsid w:val="00B04C08"/>
    <w:rsid w:val="00B104EA"/>
    <w:rsid w:val="00B218EE"/>
    <w:rsid w:val="00B21BED"/>
    <w:rsid w:val="00B92D8D"/>
    <w:rsid w:val="00BC3B85"/>
    <w:rsid w:val="00C06E87"/>
    <w:rsid w:val="00C1126A"/>
    <w:rsid w:val="00C1466F"/>
    <w:rsid w:val="00C20C33"/>
    <w:rsid w:val="00C22BE9"/>
    <w:rsid w:val="00C23C62"/>
    <w:rsid w:val="00C278D6"/>
    <w:rsid w:val="00C3173B"/>
    <w:rsid w:val="00C60A3B"/>
    <w:rsid w:val="00C7720E"/>
    <w:rsid w:val="00CA3CAF"/>
    <w:rsid w:val="00CC3569"/>
    <w:rsid w:val="00CF463A"/>
    <w:rsid w:val="00D01950"/>
    <w:rsid w:val="00D05C9A"/>
    <w:rsid w:val="00D10685"/>
    <w:rsid w:val="00D26987"/>
    <w:rsid w:val="00D40172"/>
    <w:rsid w:val="00D67E74"/>
    <w:rsid w:val="00DA547E"/>
    <w:rsid w:val="00DC692D"/>
    <w:rsid w:val="00DE6465"/>
    <w:rsid w:val="00DF51CD"/>
    <w:rsid w:val="00E13654"/>
    <w:rsid w:val="00E13D69"/>
    <w:rsid w:val="00E366ED"/>
    <w:rsid w:val="00E77314"/>
    <w:rsid w:val="00E83D0B"/>
    <w:rsid w:val="00EB3689"/>
    <w:rsid w:val="00EB6763"/>
    <w:rsid w:val="00EB678D"/>
    <w:rsid w:val="00EB7A6C"/>
    <w:rsid w:val="00EC1001"/>
    <w:rsid w:val="00EE2104"/>
    <w:rsid w:val="00EF7BAB"/>
    <w:rsid w:val="00F123F1"/>
    <w:rsid w:val="00F768BC"/>
    <w:rsid w:val="00F8125A"/>
    <w:rsid w:val="00F86030"/>
    <w:rsid w:val="00FA365B"/>
    <w:rsid w:val="00FB0874"/>
    <w:rsid w:val="00FB1448"/>
    <w:rsid w:val="00FB40E7"/>
    <w:rsid w:val="00FB456C"/>
    <w:rsid w:val="00FC39BA"/>
    <w:rsid w:val="00FE001E"/>
    <w:rsid w:val="00FF5E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5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8D"/>
    <w:pPr>
      <w:ind w:left="720"/>
      <w:contextualSpacing/>
    </w:pPr>
  </w:style>
  <w:style w:type="table" w:styleId="MediumList2-Accent1">
    <w:name w:val="Medium List 2 Accent 1"/>
    <w:basedOn w:val="TableNormal"/>
    <w:uiPriority w:val="66"/>
    <w:semiHidden/>
    <w:unhideWhenUsed/>
    <w:rsid w:val="00C7720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E13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54"/>
  </w:style>
  <w:style w:type="paragraph" w:styleId="Footer">
    <w:name w:val="footer"/>
    <w:basedOn w:val="Normal"/>
    <w:link w:val="FooterChar"/>
    <w:uiPriority w:val="99"/>
    <w:unhideWhenUsed/>
    <w:rsid w:val="00E13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654"/>
  </w:style>
  <w:style w:type="paragraph" w:styleId="BalloonText">
    <w:name w:val="Balloon Text"/>
    <w:basedOn w:val="Normal"/>
    <w:link w:val="BalloonTextChar"/>
    <w:uiPriority w:val="99"/>
    <w:semiHidden/>
    <w:unhideWhenUsed/>
    <w:rsid w:val="00EE2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04"/>
    <w:rPr>
      <w:rFonts w:ascii="Segoe UI" w:hAnsi="Segoe UI" w:cs="Segoe UI"/>
      <w:sz w:val="18"/>
      <w:szCs w:val="18"/>
    </w:rPr>
  </w:style>
  <w:style w:type="character" w:styleId="CommentReference">
    <w:name w:val="annotation reference"/>
    <w:basedOn w:val="DefaultParagraphFont"/>
    <w:uiPriority w:val="99"/>
    <w:semiHidden/>
    <w:unhideWhenUsed/>
    <w:rsid w:val="001A03C3"/>
    <w:rPr>
      <w:sz w:val="16"/>
      <w:szCs w:val="16"/>
    </w:rPr>
  </w:style>
  <w:style w:type="paragraph" w:styleId="CommentText">
    <w:name w:val="annotation text"/>
    <w:basedOn w:val="Normal"/>
    <w:link w:val="CommentTextChar"/>
    <w:uiPriority w:val="99"/>
    <w:semiHidden/>
    <w:unhideWhenUsed/>
    <w:rsid w:val="001A03C3"/>
    <w:pPr>
      <w:spacing w:line="240" w:lineRule="auto"/>
    </w:pPr>
    <w:rPr>
      <w:sz w:val="20"/>
      <w:szCs w:val="20"/>
    </w:rPr>
  </w:style>
  <w:style w:type="character" w:customStyle="1" w:styleId="CommentTextChar">
    <w:name w:val="Comment Text Char"/>
    <w:basedOn w:val="DefaultParagraphFont"/>
    <w:link w:val="CommentText"/>
    <w:uiPriority w:val="99"/>
    <w:semiHidden/>
    <w:rsid w:val="001A03C3"/>
    <w:rPr>
      <w:sz w:val="20"/>
      <w:szCs w:val="20"/>
    </w:rPr>
  </w:style>
  <w:style w:type="paragraph" w:styleId="CommentSubject">
    <w:name w:val="annotation subject"/>
    <w:basedOn w:val="CommentText"/>
    <w:next w:val="CommentText"/>
    <w:link w:val="CommentSubjectChar"/>
    <w:uiPriority w:val="99"/>
    <w:semiHidden/>
    <w:unhideWhenUsed/>
    <w:rsid w:val="00360826"/>
    <w:rPr>
      <w:b/>
      <w:bCs/>
    </w:rPr>
  </w:style>
  <w:style w:type="character" w:customStyle="1" w:styleId="CommentSubjectChar">
    <w:name w:val="Comment Subject Char"/>
    <w:basedOn w:val="CommentTextChar"/>
    <w:link w:val="CommentSubject"/>
    <w:uiPriority w:val="99"/>
    <w:semiHidden/>
    <w:rsid w:val="00360826"/>
    <w:rPr>
      <w:b/>
      <w:bCs/>
      <w:sz w:val="20"/>
      <w:szCs w:val="20"/>
    </w:rPr>
  </w:style>
  <w:style w:type="paragraph" w:styleId="NoSpacing">
    <w:name w:val="No Spacing"/>
    <w:uiPriority w:val="1"/>
    <w:qFormat/>
    <w:rsid w:val="006F0F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8D"/>
    <w:pPr>
      <w:ind w:left="720"/>
      <w:contextualSpacing/>
    </w:pPr>
  </w:style>
  <w:style w:type="table" w:styleId="MediumList2-Accent1">
    <w:name w:val="Medium List 2 Accent 1"/>
    <w:basedOn w:val="TableNormal"/>
    <w:uiPriority w:val="66"/>
    <w:semiHidden/>
    <w:unhideWhenUsed/>
    <w:rsid w:val="00C7720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E13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54"/>
  </w:style>
  <w:style w:type="paragraph" w:styleId="Footer">
    <w:name w:val="footer"/>
    <w:basedOn w:val="Normal"/>
    <w:link w:val="FooterChar"/>
    <w:uiPriority w:val="99"/>
    <w:unhideWhenUsed/>
    <w:rsid w:val="00E13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654"/>
  </w:style>
  <w:style w:type="paragraph" w:styleId="BalloonText">
    <w:name w:val="Balloon Text"/>
    <w:basedOn w:val="Normal"/>
    <w:link w:val="BalloonTextChar"/>
    <w:uiPriority w:val="99"/>
    <w:semiHidden/>
    <w:unhideWhenUsed/>
    <w:rsid w:val="00EE2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04"/>
    <w:rPr>
      <w:rFonts w:ascii="Segoe UI" w:hAnsi="Segoe UI" w:cs="Segoe UI"/>
      <w:sz w:val="18"/>
      <w:szCs w:val="18"/>
    </w:rPr>
  </w:style>
  <w:style w:type="character" w:styleId="CommentReference">
    <w:name w:val="annotation reference"/>
    <w:basedOn w:val="DefaultParagraphFont"/>
    <w:uiPriority w:val="99"/>
    <w:semiHidden/>
    <w:unhideWhenUsed/>
    <w:rsid w:val="001A03C3"/>
    <w:rPr>
      <w:sz w:val="16"/>
      <w:szCs w:val="16"/>
    </w:rPr>
  </w:style>
  <w:style w:type="paragraph" w:styleId="CommentText">
    <w:name w:val="annotation text"/>
    <w:basedOn w:val="Normal"/>
    <w:link w:val="CommentTextChar"/>
    <w:uiPriority w:val="99"/>
    <w:semiHidden/>
    <w:unhideWhenUsed/>
    <w:rsid w:val="001A03C3"/>
    <w:pPr>
      <w:spacing w:line="240" w:lineRule="auto"/>
    </w:pPr>
    <w:rPr>
      <w:sz w:val="20"/>
      <w:szCs w:val="20"/>
    </w:rPr>
  </w:style>
  <w:style w:type="character" w:customStyle="1" w:styleId="CommentTextChar">
    <w:name w:val="Comment Text Char"/>
    <w:basedOn w:val="DefaultParagraphFont"/>
    <w:link w:val="CommentText"/>
    <w:uiPriority w:val="99"/>
    <w:semiHidden/>
    <w:rsid w:val="001A03C3"/>
    <w:rPr>
      <w:sz w:val="20"/>
      <w:szCs w:val="20"/>
    </w:rPr>
  </w:style>
  <w:style w:type="paragraph" w:styleId="CommentSubject">
    <w:name w:val="annotation subject"/>
    <w:basedOn w:val="CommentText"/>
    <w:next w:val="CommentText"/>
    <w:link w:val="CommentSubjectChar"/>
    <w:uiPriority w:val="99"/>
    <w:semiHidden/>
    <w:unhideWhenUsed/>
    <w:rsid w:val="00360826"/>
    <w:rPr>
      <w:b/>
      <w:bCs/>
    </w:rPr>
  </w:style>
  <w:style w:type="character" w:customStyle="1" w:styleId="CommentSubjectChar">
    <w:name w:val="Comment Subject Char"/>
    <w:basedOn w:val="CommentTextChar"/>
    <w:link w:val="CommentSubject"/>
    <w:uiPriority w:val="99"/>
    <w:semiHidden/>
    <w:rsid w:val="00360826"/>
    <w:rPr>
      <w:b/>
      <w:bCs/>
      <w:sz w:val="20"/>
      <w:szCs w:val="20"/>
    </w:rPr>
  </w:style>
  <w:style w:type="paragraph" w:styleId="NoSpacing">
    <w:name w:val="No Spacing"/>
    <w:uiPriority w:val="1"/>
    <w:qFormat/>
    <w:rsid w:val="006F0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70096">
      <w:bodyDiv w:val="1"/>
      <w:marLeft w:val="0"/>
      <w:marRight w:val="0"/>
      <w:marTop w:val="0"/>
      <w:marBottom w:val="0"/>
      <w:divBdr>
        <w:top w:val="none" w:sz="0" w:space="0" w:color="auto"/>
        <w:left w:val="none" w:sz="0" w:space="0" w:color="auto"/>
        <w:bottom w:val="none" w:sz="0" w:space="0" w:color="auto"/>
        <w:right w:val="none" w:sz="0" w:space="0" w:color="auto"/>
      </w:divBdr>
    </w:div>
    <w:div w:id="1038552444">
      <w:bodyDiv w:val="1"/>
      <w:marLeft w:val="0"/>
      <w:marRight w:val="0"/>
      <w:marTop w:val="0"/>
      <w:marBottom w:val="0"/>
      <w:divBdr>
        <w:top w:val="none" w:sz="0" w:space="0" w:color="auto"/>
        <w:left w:val="none" w:sz="0" w:space="0" w:color="auto"/>
        <w:bottom w:val="none" w:sz="0" w:space="0" w:color="auto"/>
        <w:right w:val="none" w:sz="0" w:space="0" w:color="auto"/>
      </w:divBdr>
    </w:div>
    <w:div w:id="1299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Kigabo</dc:creator>
  <cp:lastModifiedBy>Leonard RUGWABIZA MINEGA</cp:lastModifiedBy>
  <cp:revision>5</cp:revision>
  <cp:lastPrinted>2017-09-15T07:04:00Z</cp:lastPrinted>
  <dcterms:created xsi:type="dcterms:W3CDTF">2017-10-05T12:37:00Z</dcterms:created>
  <dcterms:modified xsi:type="dcterms:W3CDTF">2017-10-05T13:37:00Z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